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321"/>
        <w:spacing w:before="171" w:line="203" w:lineRule="auto"/>
        <w:outlineLvl w:val="0"/>
        <w:rPr>
          <w:sz w:val="40"/>
          <w:szCs w:val="40"/>
        </w:rPr>
      </w:pPr>
      <w:r>
        <w:rPr>
          <w:sz w:val="40"/>
          <w:szCs w:val="40"/>
          <w:spacing w:val="1"/>
        </w:rPr>
        <w:t>全国统一大市场建设指引（试行）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3126"/>
        <w:spacing w:before="129" w:line="182" w:lineRule="auto"/>
        <w:rPr/>
      </w:pPr>
      <w:r>
        <w:rPr>
          <w:spacing w:val="-2"/>
        </w:rPr>
        <w:t>第一章</w:t>
      </w:r>
      <w:r>
        <w:rPr>
          <w:spacing w:val="12"/>
        </w:rPr>
        <w:t xml:space="preserve">   </w:t>
      </w:r>
      <w:r>
        <w:rPr>
          <w:spacing w:val="-2"/>
        </w:rPr>
        <w:t>总</w:t>
      </w:r>
      <w:r>
        <w:rPr>
          <w:spacing w:val="12"/>
        </w:rPr>
        <w:t xml:space="preserve">      </w:t>
      </w:r>
      <w:r>
        <w:rPr>
          <w:spacing w:val="-2"/>
        </w:rPr>
        <w:t>则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spacing w:before="129" w:line="204" w:lineRule="auto"/>
        <w:outlineLvl w:val="1"/>
        <w:jc w:val="right"/>
        <w:rPr/>
      </w:pPr>
      <w:r>
        <w:rPr>
          <w:rFonts w:ascii="SimHei" w:hAnsi="SimHei" w:eastAsia="SimHei" w:cs="SimHei"/>
          <w:spacing w:val="9"/>
        </w:rPr>
        <w:t>第一条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为深入贯彻党中央和国务院关于全国统一大市场建</w:t>
      </w:r>
    </w:p>
    <w:p>
      <w:pPr>
        <w:pStyle w:val="BodyText"/>
        <w:ind w:left="10" w:hanging="10"/>
        <w:spacing w:before="161" w:line="271" w:lineRule="auto"/>
        <w:rPr/>
      </w:pPr>
      <w:r>
        <w:rPr>
          <w:spacing w:val="-2"/>
        </w:rPr>
        <w:t>设的决策部署，推动各地区、各部门加快融入和主动服务全国统一</w:t>
      </w:r>
      <w:r>
        <w:rPr>
          <w:spacing w:val="14"/>
        </w:rPr>
        <w:t xml:space="preserve"> </w:t>
      </w:r>
      <w:r>
        <w:rPr>
          <w:spacing w:val="-6"/>
        </w:rPr>
        <w:t>大市场建设工作</w:t>
      </w:r>
      <w:r>
        <w:rPr>
          <w:spacing w:val="-33"/>
        </w:rPr>
        <w:t xml:space="preserve"> </w:t>
      </w:r>
      <w:r>
        <w:rPr>
          <w:spacing w:val="-6"/>
        </w:rPr>
        <w:t>，制定本指引。</w:t>
      </w:r>
    </w:p>
    <w:p>
      <w:pPr>
        <w:pStyle w:val="BodyText"/>
        <w:spacing w:before="2" w:line="204" w:lineRule="auto"/>
        <w:outlineLvl w:val="1"/>
        <w:jc w:val="right"/>
        <w:rPr/>
      </w:pPr>
      <w:r>
        <w:rPr>
          <w:rFonts w:ascii="SimHei" w:hAnsi="SimHei" w:eastAsia="SimHei" w:cs="SimHei"/>
          <w:spacing w:val="-2"/>
        </w:rPr>
        <w:t>第二条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本指引主要为地方各级人民政府及国务院有关部门、</w:t>
      </w:r>
    </w:p>
    <w:p>
      <w:pPr>
        <w:pStyle w:val="BodyText"/>
        <w:ind w:left="4"/>
        <w:spacing w:before="162" w:line="199" w:lineRule="auto"/>
        <w:rPr/>
      </w:pPr>
      <w:r>
        <w:rPr>
          <w:spacing w:val="-1"/>
        </w:rPr>
        <w:t>直属机构提供推进全国统一大市场建设的工作导向和基本参照。</w:t>
      </w:r>
    </w:p>
    <w:p>
      <w:pPr>
        <w:pStyle w:val="BodyText"/>
        <w:spacing w:before="150" w:line="204" w:lineRule="auto"/>
        <w:outlineLvl w:val="1"/>
        <w:jc w:val="right"/>
        <w:rPr/>
      </w:pPr>
      <w:r>
        <w:rPr>
          <w:rFonts w:ascii="SimHei" w:hAnsi="SimHei" w:eastAsia="SimHei" w:cs="SimHei"/>
          <w:spacing w:val="8"/>
        </w:rPr>
        <w:t>第三条</w:t>
      </w:r>
      <w:r>
        <w:rPr>
          <w:rFonts w:ascii="SimHei" w:hAnsi="SimHei" w:eastAsia="SimHei" w:cs="SimHei"/>
          <w:spacing w:val="8"/>
        </w:rPr>
        <w:t xml:space="preserve">  </w:t>
      </w:r>
      <w:r>
        <w:rPr>
          <w:spacing w:val="8"/>
        </w:rPr>
        <w:t>本指引将根据实践中各地区</w:t>
      </w:r>
      <w:r>
        <w:rPr>
          <w:spacing w:val="-44"/>
        </w:rPr>
        <w:t xml:space="preserve"> </w:t>
      </w:r>
      <w:r>
        <w:rPr>
          <w:spacing w:val="8"/>
        </w:rPr>
        <w:t>、各部门的执</w:t>
      </w:r>
      <w:r>
        <w:rPr>
          <w:spacing w:val="7"/>
        </w:rPr>
        <w:t>行落实情</w:t>
      </w:r>
    </w:p>
    <w:p>
      <w:pPr>
        <w:pStyle w:val="BodyText"/>
        <w:spacing w:before="161" w:line="199" w:lineRule="auto"/>
        <w:jc w:val="right"/>
        <w:rPr/>
      </w:pPr>
      <w:r>
        <w:rPr>
          <w:spacing w:val="-4"/>
        </w:rPr>
        <w:t>况</w:t>
      </w:r>
      <w:r>
        <w:rPr>
          <w:spacing w:val="-22"/>
        </w:rPr>
        <w:t xml:space="preserve"> </w:t>
      </w:r>
      <w:r>
        <w:rPr>
          <w:spacing w:val="-4"/>
        </w:rPr>
        <w:t>，结合全国统一大市场建设进程中面临的新形势、新要求，进行</w:t>
      </w:r>
    </w:p>
    <w:p>
      <w:pPr>
        <w:pStyle w:val="BodyText"/>
        <w:ind w:left="15"/>
        <w:spacing w:before="162" w:line="199" w:lineRule="auto"/>
        <w:outlineLvl w:val="0"/>
        <w:rPr/>
      </w:pPr>
      <w:r>
        <w:rPr>
          <w:spacing w:val="-7"/>
        </w:rPr>
        <w:t>动态调整。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926"/>
        <w:spacing w:before="129" w:line="181" w:lineRule="auto"/>
        <w:rPr/>
      </w:pPr>
      <w:r>
        <w:rPr>
          <w:spacing w:val="1"/>
        </w:rPr>
        <w:t>第二章   强化市场基础制度规则统一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2086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第一节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完善统一的产权保护制度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spacing w:before="129" w:line="204" w:lineRule="auto"/>
        <w:outlineLvl w:val="2"/>
        <w:jc w:val="right"/>
        <w:rPr/>
      </w:pPr>
      <w:r>
        <w:rPr>
          <w:rFonts w:ascii="SimHei" w:hAnsi="SimHei" w:eastAsia="SimHei" w:cs="SimHei"/>
          <w:spacing w:val="-2"/>
        </w:rPr>
        <w:t>第四条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有关部门要结合产权保护工作实际情况，不断完善依</w:t>
      </w:r>
    </w:p>
    <w:p>
      <w:pPr>
        <w:pStyle w:val="BodyText"/>
        <w:ind w:left="15"/>
        <w:spacing w:before="162" w:line="272" w:lineRule="auto"/>
        <w:jc w:val="both"/>
        <w:rPr/>
      </w:pPr>
      <w:r>
        <w:rPr>
          <w:spacing w:val="-2"/>
        </w:rPr>
        <w:t>法平等长久保护各种所有制经济产权的制度体系，细化统一规范的</w:t>
      </w:r>
      <w:r>
        <w:rPr/>
        <w:t xml:space="preserve"> </w:t>
      </w:r>
      <w:r>
        <w:rPr>
          <w:spacing w:val="-2"/>
        </w:rPr>
        <w:t>涉产权强制措施规则，进一步明确和统一行政执法标准，做好与司</w:t>
      </w:r>
      <w:r>
        <w:rPr/>
        <w:t xml:space="preserve"> </w:t>
      </w:r>
      <w:r>
        <w:rPr>
          <w:spacing w:val="-2"/>
        </w:rPr>
        <w:t>法裁判标准的衔接，</w:t>
      </w:r>
      <w:r>
        <w:rPr>
          <w:spacing w:val="-66"/>
        </w:rPr>
        <w:t xml:space="preserve"> </w:t>
      </w:r>
      <w:r>
        <w:rPr>
          <w:spacing w:val="-2"/>
        </w:rPr>
        <w:t>完善关于规范涉案财物管理的制度规</w:t>
      </w:r>
      <w:r>
        <w:rPr>
          <w:spacing w:val="-3"/>
        </w:rPr>
        <w:t>则。</w:t>
      </w:r>
    </w:p>
    <w:p>
      <w:pPr>
        <w:spacing w:line="272" w:lineRule="auto"/>
        <w:sectPr>
          <w:pgSz w:w="11906" w:h="16839"/>
          <w:pgMar w:top="1431" w:right="1617" w:bottom="0" w:left="1631" w:header="0" w:footer="0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129" w:line="204" w:lineRule="auto"/>
        <w:outlineLvl w:val="2"/>
        <w:rPr/>
      </w:pPr>
      <w:r>
        <w:rPr>
          <w:rFonts w:ascii="SimHei" w:hAnsi="SimHei" w:eastAsia="SimHei" w:cs="SimHei"/>
          <w:spacing w:val="-1"/>
        </w:rPr>
        <w:t>第五条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各地区不得利用行政、刑事手段违法干预经济纠纷、</w:t>
      </w:r>
    </w:p>
    <w:p>
      <w:pPr>
        <w:pStyle w:val="BodyText"/>
        <w:ind w:left="3" w:right="18"/>
        <w:spacing w:before="162" w:line="272" w:lineRule="auto"/>
        <w:jc w:val="both"/>
        <w:rPr/>
      </w:pPr>
      <w:r>
        <w:rPr>
          <w:spacing w:val="-1"/>
        </w:rPr>
        <w:t>侵害经营主体权益</w:t>
      </w:r>
      <w:r>
        <w:rPr>
          <w:spacing w:val="-36"/>
        </w:rPr>
        <w:t xml:space="preserve"> </w:t>
      </w:r>
      <w:r>
        <w:rPr>
          <w:spacing w:val="-1"/>
        </w:rPr>
        <w:t>，不得超权限、超范围、</w:t>
      </w:r>
      <w:r>
        <w:rPr>
          <w:spacing w:val="-2"/>
        </w:rPr>
        <w:t>超数额、超时限查封、</w:t>
      </w:r>
      <w:r>
        <w:rPr/>
        <w:t xml:space="preserve"> </w:t>
      </w:r>
      <w:r>
        <w:rPr>
          <w:spacing w:val="-9"/>
        </w:rPr>
        <w:t>扣押、冻结经营主体财产，不得违法开展异地执法或实行异地管辖，</w:t>
      </w:r>
      <w:r>
        <w:rPr>
          <w:spacing w:val="18"/>
        </w:rPr>
        <w:t xml:space="preserve"> </w:t>
      </w:r>
      <w:r>
        <w:rPr>
          <w:spacing w:val="-2"/>
        </w:rPr>
        <w:t>依法防止和纠正逐利性执法司法活动。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089"/>
        <w:spacing w:before="97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第二节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实行统一的市场准入制度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130" w:line="204" w:lineRule="auto"/>
        <w:outlineLvl w:val="2"/>
        <w:rPr/>
      </w:pPr>
      <w:r>
        <w:rPr>
          <w:rFonts w:ascii="SimHei" w:hAnsi="SimHei" w:eastAsia="SimHei" w:cs="SimHei"/>
          <w:spacing w:val="-2"/>
        </w:rPr>
        <w:t>第六条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各地区、各部门要严格落实“全国一张清单”管理模</w:t>
      </w:r>
    </w:p>
    <w:p>
      <w:pPr>
        <w:pStyle w:val="BodyText"/>
        <w:ind w:left="2" w:right="112" w:firstLine="16"/>
        <w:spacing w:before="161" w:line="271" w:lineRule="auto"/>
        <w:rPr/>
      </w:pPr>
      <w:r>
        <w:rPr>
          <w:spacing w:val="-4"/>
        </w:rPr>
        <w:t>式。地方依法设定的市场准入管理措施</w:t>
      </w:r>
      <w:r>
        <w:rPr>
          <w:spacing w:val="-33"/>
        </w:rPr>
        <w:t xml:space="preserve"> </w:t>
      </w:r>
      <w:r>
        <w:rPr>
          <w:spacing w:val="-4"/>
        </w:rPr>
        <w:t>，要全部列入全国统一的市</w:t>
      </w:r>
      <w:r>
        <w:rPr/>
        <w:t xml:space="preserve"> </w:t>
      </w:r>
      <w:r>
        <w:rPr>
          <w:spacing w:val="-2"/>
        </w:rPr>
        <w:t>场准入负面清单管理。</w:t>
      </w:r>
    </w:p>
    <w:p>
      <w:pPr>
        <w:pStyle w:val="BodyText"/>
        <w:ind w:left="601"/>
        <w:spacing w:before="3" w:line="204" w:lineRule="auto"/>
        <w:outlineLvl w:val="2"/>
        <w:rPr/>
      </w:pPr>
      <w:r>
        <w:rPr>
          <w:rFonts w:ascii="SimHei" w:hAnsi="SimHei" w:eastAsia="SimHei" w:cs="SimHei"/>
          <w:spacing w:val="8"/>
        </w:rPr>
        <w:t>第七条</w:t>
      </w:r>
      <w:r>
        <w:rPr>
          <w:rFonts w:ascii="SimHei" w:hAnsi="SimHei" w:eastAsia="SimHei" w:cs="SimHei"/>
          <w:spacing w:val="8"/>
        </w:rPr>
        <w:t xml:space="preserve">  </w:t>
      </w:r>
      <w:r>
        <w:rPr>
          <w:spacing w:val="8"/>
        </w:rPr>
        <w:t>各地区要全面开展市场准入效能评估，</w:t>
      </w:r>
      <w:r>
        <w:rPr>
          <w:spacing w:val="-48"/>
        </w:rPr>
        <w:t xml:space="preserve"> </w:t>
      </w:r>
      <w:r>
        <w:rPr>
          <w:spacing w:val="8"/>
        </w:rPr>
        <w:t>优化指标体</w:t>
      </w:r>
    </w:p>
    <w:p>
      <w:pPr>
        <w:pStyle w:val="BodyText"/>
        <w:ind w:left="25"/>
        <w:spacing w:before="161" w:line="199" w:lineRule="auto"/>
        <w:rPr/>
      </w:pPr>
      <w:r>
        <w:rPr>
          <w:spacing w:val="-5"/>
        </w:rPr>
        <w:t>系</w:t>
      </w:r>
      <w:r>
        <w:rPr>
          <w:spacing w:val="-20"/>
        </w:rPr>
        <w:t xml:space="preserve"> </w:t>
      </w:r>
      <w:r>
        <w:rPr>
          <w:spacing w:val="-5"/>
        </w:rPr>
        <w:t>，确保评估过程公开透明、评估结果客观合理。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089"/>
        <w:spacing w:before="97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第三节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维护统一的公平竞争制度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130" w:line="204" w:lineRule="auto"/>
        <w:outlineLvl w:val="2"/>
        <w:rPr/>
      </w:pPr>
      <w:r>
        <w:rPr>
          <w:rFonts w:ascii="SimHei" w:hAnsi="SimHei" w:eastAsia="SimHei" w:cs="SimHei"/>
          <w:spacing w:val="-1"/>
        </w:rPr>
        <w:t>第八条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各地区、各部门要严格落实《公平竞争审查条例》，</w:t>
      </w:r>
    </w:p>
    <w:p>
      <w:pPr>
        <w:pStyle w:val="BodyText"/>
        <w:ind w:left="3" w:right="112" w:hanging="1"/>
        <w:spacing w:before="161" w:line="271" w:lineRule="auto"/>
        <w:rPr/>
      </w:pPr>
      <w:r>
        <w:rPr>
          <w:spacing w:val="-2"/>
        </w:rPr>
        <w:t>按照法定审查程序、审查标准开展公平竞争审查工作，严格落实审</w:t>
      </w:r>
      <w:r>
        <w:rPr>
          <w:spacing w:val="14"/>
        </w:rPr>
        <w:t xml:space="preserve"> </w:t>
      </w:r>
      <w:r>
        <w:rPr>
          <w:spacing w:val="-3"/>
        </w:rPr>
        <w:t>查主体责任，</w:t>
      </w:r>
      <w:r>
        <w:rPr>
          <w:spacing w:val="-33"/>
        </w:rPr>
        <w:t xml:space="preserve"> </w:t>
      </w:r>
      <w:r>
        <w:rPr>
          <w:spacing w:val="-3"/>
        </w:rPr>
        <w:t>防止出台或实施妨碍公平竞争的政策措施。</w:t>
      </w:r>
    </w:p>
    <w:p>
      <w:pPr>
        <w:pStyle w:val="BodyText"/>
        <w:ind w:left="601"/>
        <w:spacing w:before="2" w:line="205" w:lineRule="auto"/>
        <w:outlineLvl w:val="2"/>
        <w:rPr/>
      </w:pPr>
      <w:r>
        <w:rPr>
          <w:rFonts w:ascii="SimHei" w:hAnsi="SimHei" w:eastAsia="SimHei" w:cs="SimHei"/>
          <w:spacing w:val="-2"/>
        </w:rPr>
        <w:t>第九条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各地区、各部门不得未经公平竞争审查或违反审查标</w:t>
      </w:r>
    </w:p>
    <w:p>
      <w:pPr>
        <w:pStyle w:val="BodyText"/>
        <w:ind w:firstLine="8"/>
        <w:spacing w:before="161" w:line="272" w:lineRule="auto"/>
        <w:jc w:val="both"/>
        <w:rPr/>
      </w:pPr>
      <w:r>
        <w:rPr>
          <w:spacing w:val="-2"/>
        </w:rPr>
        <w:t>准</w:t>
      </w:r>
      <w:r>
        <w:rPr>
          <w:spacing w:val="-22"/>
        </w:rPr>
        <w:t xml:space="preserve"> </w:t>
      </w:r>
      <w:r>
        <w:rPr>
          <w:spacing w:val="-2"/>
        </w:rPr>
        <w:t>，起草关于市场准入和退出、产业发展、招商引资、招标投标、</w:t>
      </w:r>
      <w:r>
        <w:rPr/>
        <w:t xml:space="preserve"> </w:t>
      </w:r>
      <w:r>
        <w:rPr>
          <w:spacing w:val="-2"/>
        </w:rPr>
        <w:t>政府采购、经营行为规范、资质标准等涉及经营主体经济活动的法</w:t>
      </w:r>
      <w:r>
        <w:rPr>
          <w:spacing w:val="8"/>
        </w:rPr>
        <w:t xml:space="preserve">  </w:t>
      </w:r>
      <w:r>
        <w:rPr>
          <w:spacing w:val="-8"/>
        </w:rPr>
        <w:t>律、行政法规、地方性法规、规章、规范性文件以及具体政策措施。</w:t>
      </w:r>
    </w:p>
    <w:p>
      <w:pPr>
        <w:spacing w:line="272" w:lineRule="auto"/>
        <w:sectPr>
          <w:pgSz w:w="11906" w:h="16839"/>
          <w:pgMar w:top="1431" w:right="1504" w:bottom="0" w:left="1629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086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第四节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健全统一的社会信用制度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spacing w:before="129" w:line="204" w:lineRule="auto"/>
        <w:outlineLvl w:val="2"/>
        <w:jc w:val="right"/>
        <w:rPr/>
      </w:pPr>
      <w:r>
        <w:rPr>
          <w:rFonts w:ascii="SimHei" w:hAnsi="SimHei" w:eastAsia="SimHei" w:cs="SimHei"/>
          <w:spacing w:val="-3"/>
        </w:rPr>
        <w:t>第</w:t>
      </w:r>
      <w:r>
        <w:rPr>
          <w:rFonts w:ascii="SimHei" w:hAnsi="SimHei" w:eastAsia="SimHei" w:cs="SimHei"/>
          <w:spacing w:val="-2"/>
        </w:rPr>
        <w:t>十条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有关部门要健全完善统一规范、协同共享、科学高</w:t>
      </w:r>
      <w:r>
        <w:rPr>
          <w:spacing w:val="-1"/>
        </w:rPr>
        <w:t>效</w:t>
      </w:r>
    </w:p>
    <w:p>
      <w:pPr>
        <w:pStyle w:val="BodyText"/>
        <w:ind w:left="9" w:firstLine="18"/>
        <w:spacing w:before="160" w:line="271" w:lineRule="auto"/>
        <w:rPr/>
      </w:pPr>
      <w:r>
        <w:rPr>
          <w:spacing w:val="-6"/>
        </w:rPr>
        <w:t>的信用修复制度</w:t>
      </w:r>
      <w:r>
        <w:rPr>
          <w:spacing w:val="-36"/>
        </w:rPr>
        <w:t xml:space="preserve"> </w:t>
      </w:r>
      <w:r>
        <w:rPr>
          <w:spacing w:val="-6"/>
        </w:rPr>
        <w:t>，统一制定兼容各领域的信用修复规则</w:t>
      </w:r>
      <w:r>
        <w:rPr>
          <w:spacing w:val="-36"/>
        </w:rPr>
        <w:t xml:space="preserve"> </w:t>
      </w:r>
      <w:r>
        <w:rPr>
          <w:spacing w:val="-6"/>
        </w:rPr>
        <w:t>，</w:t>
      </w:r>
      <w:r>
        <w:rPr>
          <w:spacing w:val="-7"/>
        </w:rPr>
        <w:t>强化各有</w:t>
      </w:r>
      <w:r>
        <w:rPr/>
        <w:t xml:space="preserve"> </w:t>
      </w:r>
      <w:r>
        <w:rPr>
          <w:spacing w:val="-2"/>
        </w:rPr>
        <w:t>关部门、第三方信用服务机构的工作协同。</w:t>
      </w:r>
    </w:p>
    <w:p>
      <w:pPr>
        <w:pStyle w:val="BodyText"/>
        <w:spacing w:before="3" w:line="204" w:lineRule="auto"/>
        <w:jc w:val="right"/>
        <w:rPr/>
      </w:pPr>
      <w:r>
        <w:rPr>
          <w:rFonts w:ascii="SimHei" w:hAnsi="SimHei" w:eastAsia="SimHei" w:cs="SimHei"/>
          <w:spacing w:val="-3"/>
        </w:rPr>
        <w:t>第</w:t>
      </w:r>
      <w:r>
        <w:rPr>
          <w:rFonts w:ascii="SimHei" w:hAnsi="SimHei" w:eastAsia="SimHei" w:cs="SimHei"/>
          <w:spacing w:val="-2"/>
        </w:rPr>
        <w:t>十一条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各地区要督促行政机关诚信履约，将本辖区行政</w:t>
      </w:r>
      <w:r>
        <w:rPr>
          <w:spacing w:val="-1"/>
        </w:rPr>
        <w:t>机</w:t>
      </w:r>
    </w:p>
    <w:p>
      <w:pPr>
        <w:pStyle w:val="BodyText"/>
        <w:spacing w:before="161" w:line="198" w:lineRule="auto"/>
        <w:outlineLvl w:val="2"/>
        <w:jc w:val="right"/>
        <w:rPr/>
      </w:pPr>
      <w:r>
        <w:rPr>
          <w:spacing w:val="-5"/>
        </w:rPr>
        <w:t>关违反与经营主体签订的政府采购、项 目建设、招商引资等合同、</w:t>
      </w:r>
    </w:p>
    <w:p>
      <w:pPr>
        <w:pStyle w:val="BodyText"/>
        <w:ind w:left="2" w:firstLine="5"/>
        <w:spacing w:before="162" w:line="271" w:lineRule="auto"/>
        <w:rPr/>
      </w:pPr>
      <w:r>
        <w:rPr>
          <w:spacing w:val="-2"/>
        </w:rPr>
        <w:t>协议所约定事项的行为记入相关主体信用记录，将政务失信记录纳</w:t>
      </w:r>
      <w:r>
        <w:rPr>
          <w:spacing w:val="6"/>
        </w:rPr>
        <w:t xml:space="preserve"> </w:t>
      </w:r>
      <w:r>
        <w:rPr>
          <w:spacing w:val="-4"/>
        </w:rPr>
        <w:t>入政府绩效考核相关评价指标</w:t>
      </w:r>
      <w:r>
        <w:rPr>
          <w:spacing w:val="-20"/>
        </w:rPr>
        <w:t xml:space="preserve"> </w:t>
      </w:r>
      <w:r>
        <w:rPr>
          <w:spacing w:val="-4"/>
        </w:rPr>
        <w:t>，强化违约拖欠中小企业款项投诉渠</w:t>
      </w:r>
    </w:p>
    <w:p>
      <w:pPr>
        <w:pStyle w:val="BodyText"/>
        <w:spacing w:before="15" w:line="199" w:lineRule="auto"/>
        <w:outlineLvl w:val="0"/>
        <w:rPr/>
      </w:pPr>
      <w:r>
        <w:rPr>
          <w:spacing w:val="-5"/>
        </w:rPr>
        <w:t>道建设。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077"/>
        <w:spacing w:before="130" w:line="185" w:lineRule="auto"/>
        <w:rPr/>
      </w:pPr>
      <w:r>
        <w:rPr>
          <w:spacing w:val="1"/>
        </w:rPr>
        <w:t>第三章   推进市场设施高标准联通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2535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第一节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建设现代流通网络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spacing w:before="129" w:line="205" w:lineRule="auto"/>
        <w:outlineLvl w:val="2"/>
        <w:jc w:val="right"/>
        <w:rPr/>
      </w:pPr>
      <w:r>
        <w:rPr>
          <w:rFonts w:ascii="SimHei" w:hAnsi="SimHei" w:eastAsia="SimHei" w:cs="SimHei"/>
          <w:spacing w:val="-3"/>
        </w:rPr>
        <w:t>第</w:t>
      </w:r>
      <w:r>
        <w:rPr>
          <w:rFonts w:ascii="SimHei" w:hAnsi="SimHei" w:eastAsia="SimHei" w:cs="SimHei"/>
          <w:spacing w:val="-2"/>
        </w:rPr>
        <w:t>十二条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有关部门、各地区要推动加快现代流通战略支点</w:t>
      </w:r>
      <w:r>
        <w:rPr>
          <w:spacing w:val="-1"/>
        </w:rPr>
        <w:t>城</w:t>
      </w:r>
    </w:p>
    <w:p>
      <w:pPr>
        <w:pStyle w:val="BodyText"/>
        <w:ind w:left="1" w:firstLine="12"/>
        <w:spacing w:before="160" w:line="273" w:lineRule="auto"/>
        <w:jc w:val="both"/>
        <w:rPr/>
      </w:pPr>
      <w:r>
        <w:rPr>
          <w:spacing w:val="-7"/>
        </w:rPr>
        <w:t>市建</w:t>
      </w:r>
      <w:r>
        <w:rPr>
          <w:spacing w:val="-6"/>
        </w:rPr>
        <w:t>设</w:t>
      </w:r>
      <w:r>
        <w:rPr>
          <w:spacing w:val="-26"/>
        </w:rPr>
        <w:t xml:space="preserve"> </w:t>
      </w:r>
      <w:r>
        <w:rPr>
          <w:spacing w:val="-6"/>
        </w:rPr>
        <w:t>，支持相关城市联合打造重要商品骨干流通走廊</w:t>
      </w:r>
      <w:r>
        <w:rPr>
          <w:spacing w:val="-36"/>
        </w:rPr>
        <w:t xml:space="preserve"> </w:t>
      </w:r>
      <w:r>
        <w:rPr>
          <w:spacing w:val="-6"/>
        </w:rPr>
        <w:t>，强化综</w:t>
      </w:r>
      <w:r>
        <w:rPr>
          <w:spacing w:val="-4"/>
        </w:rPr>
        <w:t>合</w:t>
      </w:r>
      <w:r>
        <w:rPr/>
        <w:t xml:space="preserve"> </w:t>
      </w:r>
      <w:r>
        <w:rPr>
          <w:spacing w:val="-5"/>
        </w:rPr>
        <w:t>交通网络有机衔接</w:t>
      </w:r>
      <w:r>
        <w:rPr>
          <w:spacing w:val="-36"/>
        </w:rPr>
        <w:t xml:space="preserve"> </w:t>
      </w:r>
      <w:r>
        <w:rPr>
          <w:spacing w:val="-5"/>
        </w:rPr>
        <w:t>，加快建设国家综合立体交通网主</w:t>
      </w:r>
      <w:r>
        <w:rPr>
          <w:spacing w:val="-6"/>
        </w:rPr>
        <w:t>骨架</w:t>
      </w:r>
      <w:r>
        <w:rPr>
          <w:spacing w:val="-36"/>
        </w:rPr>
        <w:t xml:space="preserve"> </w:t>
      </w:r>
      <w:r>
        <w:rPr>
          <w:spacing w:val="-6"/>
        </w:rPr>
        <w:t>，统筹布</w:t>
      </w:r>
      <w:r>
        <w:rPr/>
        <w:t xml:space="preserve"> </w:t>
      </w:r>
      <w:r>
        <w:rPr>
          <w:spacing w:val="-3"/>
        </w:rPr>
        <w:t>局</w:t>
      </w:r>
      <w:r>
        <w:rPr>
          <w:spacing w:val="-2"/>
        </w:rPr>
        <w:t>城乡融合、</w:t>
      </w:r>
      <w:r>
        <w:rPr>
          <w:spacing w:val="-67"/>
        </w:rPr>
        <w:t xml:space="preserve"> </w:t>
      </w:r>
      <w:r>
        <w:rPr>
          <w:spacing w:val="-2"/>
        </w:rPr>
        <w:t>区域联通、安全高效、智慧协同</w:t>
      </w:r>
      <w:r>
        <w:rPr>
          <w:spacing w:val="-3"/>
        </w:rPr>
        <w:t>的通信、能源、物</w:t>
      </w:r>
      <w:r>
        <w:rPr>
          <w:spacing w:val="-2"/>
        </w:rPr>
        <w:t>流</w:t>
      </w:r>
      <w:r>
        <w:rPr/>
        <w:t xml:space="preserve"> </w:t>
      </w:r>
      <w:r>
        <w:rPr>
          <w:spacing w:val="-2"/>
        </w:rPr>
        <w:t>等基础设施，健全一体衔接的流通规则和标准，加快提升多式联运</w:t>
      </w:r>
      <w:r>
        <w:rPr>
          <w:spacing w:val="12"/>
        </w:rPr>
        <w:t xml:space="preserve"> </w:t>
      </w:r>
      <w:r>
        <w:rPr>
          <w:spacing w:val="-4"/>
        </w:rPr>
        <w:t>服务水平。</w:t>
      </w:r>
    </w:p>
    <w:p>
      <w:pPr>
        <w:spacing w:line="273" w:lineRule="auto"/>
        <w:sectPr>
          <w:pgSz w:w="11906" w:h="16839"/>
          <w:pgMar w:top="1431" w:right="1617" w:bottom="0" w:left="1631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598"/>
        <w:spacing w:before="128" w:line="204" w:lineRule="auto"/>
        <w:outlineLvl w:val="2"/>
        <w:rPr/>
      </w:pPr>
      <w:r>
        <w:rPr>
          <w:rFonts w:ascii="SimHei" w:hAnsi="SimHei" w:eastAsia="SimHei" w:cs="SimHei"/>
          <w:spacing w:val="-2"/>
        </w:rPr>
        <w:t>第十三条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各地区要以打通断头路、基本消除国家公路网省际</w:t>
      </w:r>
    </w:p>
    <w:p>
      <w:pPr>
        <w:pStyle w:val="BodyText"/>
        <w:ind w:left="7" w:right="118" w:hanging="5"/>
        <w:spacing w:before="160" w:line="271" w:lineRule="auto"/>
        <w:rPr/>
      </w:pPr>
      <w:r>
        <w:rPr>
          <w:spacing w:val="-2"/>
        </w:rPr>
        <w:t>瓶颈路段以及基本打通跨省航道主要瓶颈和碍航节点为重点，加大</w:t>
      </w:r>
      <w:r>
        <w:rPr>
          <w:spacing w:val="11"/>
        </w:rPr>
        <w:t xml:space="preserve"> </w:t>
      </w:r>
      <w:r>
        <w:rPr>
          <w:spacing w:val="-4"/>
        </w:rPr>
        <w:t>协同力度</w:t>
      </w:r>
      <w:r>
        <w:rPr>
          <w:spacing w:val="-31"/>
        </w:rPr>
        <w:t xml:space="preserve"> </w:t>
      </w:r>
      <w:r>
        <w:rPr>
          <w:spacing w:val="-4"/>
        </w:rPr>
        <w:t>，破除区域间交通基础设施瓶颈制约。</w:t>
      </w:r>
    </w:p>
    <w:p>
      <w:pPr>
        <w:pStyle w:val="BodyText"/>
        <w:ind w:left="598"/>
        <w:spacing w:before="4" w:line="204" w:lineRule="auto"/>
        <w:outlineLvl w:val="2"/>
        <w:rPr/>
      </w:pPr>
      <w:r>
        <w:rPr>
          <w:rFonts w:ascii="SimHei" w:hAnsi="SimHei" w:eastAsia="SimHei" w:cs="SimHei"/>
          <w:spacing w:val="9"/>
        </w:rPr>
        <w:t>第十四条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各地区不得制定和执行与全国统一货车超限超载</w:t>
      </w:r>
    </w:p>
    <w:p>
      <w:pPr>
        <w:pStyle w:val="BodyText"/>
        <w:ind w:right="118" w:firstLine="1"/>
        <w:spacing w:before="161" w:line="272" w:lineRule="auto"/>
        <w:rPr/>
      </w:pPr>
      <w:r>
        <w:rPr>
          <w:spacing w:val="-3"/>
        </w:rPr>
        <w:t>认定标准不一致的地方标准</w:t>
      </w:r>
      <w:r>
        <w:rPr>
          <w:spacing w:val="-37"/>
        </w:rPr>
        <w:t xml:space="preserve"> </w:t>
      </w:r>
      <w:r>
        <w:rPr>
          <w:spacing w:val="-3"/>
        </w:rPr>
        <w:t>；不得以交通管</w:t>
      </w:r>
      <w:r>
        <w:rPr>
          <w:spacing w:val="-4"/>
        </w:rPr>
        <w:t>控、污染防治等为名，</w:t>
      </w:r>
      <w:r>
        <w:rPr/>
        <w:t xml:space="preserve"> </w:t>
      </w:r>
      <w:r>
        <w:rPr>
          <w:spacing w:val="-2"/>
        </w:rPr>
        <w:t>违规设置妨碍货车通行的道路限高限宽设施、检查卡点或者无故封</w:t>
      </w:r>
      <w:r>
        <w:rPr>
          <w:spacing w:val="14"/>
        </w:rPr>
        <w:t xml:space="preserve"> </w:t>
      </w:r>
      <w:r>
        <w:rPr>
          <w:spacing w:val="-3"/>
        </w:rPr>
        <w:t>堵道路线路等，</w:t>
      </w:r>
      <w:r>
        <w:rPr>
          <w:spacing w:val="-44"/>
        </w:rPr>
        <w:t xml:space="preserve"> </w:t>
      </w:r>
      <w:r>
        <w:rPr>
          <w:spacing w:val="-3"/>
        </w:rPr>
        <w:t>阻断区域间交通基础设施联通。</w:t>
      </w:r>
    </w:p>
    <w:p>
      <w:pPr>
        <w:pStyle w:val="BodyText"/>
        <w:spacing w:before="3" w:line="204" w:lineRule="auto"/>
        <w:outlineLvl w:val="2"/>
        <w:jc w:val="right"/>
        <w:rPr/>
      </w:pPr>
      <w:r>
        <w:rPr>
          <w:rFonts w:ascii="SimHei" w:hAnsi="SimHei" w:eastAsia="SimHei" w:cs="SimHei"/>
          <w:spacing w:val="-8"/>
        </w:rPr>
        <w:t>第十五条</w:t>
      </w:r>
      <w:r>
        <w:rPr>
          <w:rFonts w:ascii="SimHei" w:hAnsi="SimHei" w:eastAsia="SimHei" w:cs="SimHei"/>
          <w:spacing w:val="-8"/>
        </w:rPr>
        <w:t xml:space="preserve">  </w:t>
      </w:r>
      <w:r>
        <w:rPr>
          <w:spacing w:val="-8"/>
        </w:rPr>
        <w:t>有关部门、各地区要推动城市群、都市圈加强轨道、</w:t>
      </w:r>
    </w:p>
    <w:p>
      <w:pPr>
        <w:pStyle w:val="BodyText"/>
        <w:ind w:left="1"/>
        <w:spacing w:before="160" w:line="199" w:lineRule="auto"/>
        <w:rPr/>
      </w:pPr>
      <w:r>
        <w:rPr>
          <w:spacing w:val="8"/>
        </w:rPr>
        <w:t>公路交通运营管理和服务互联互通，</w:t>
      </w:r>
      <w:r>
        <w:rPr>
          <w:spacing w:val="-54"/>
        </w:rPr>
        <w:t xml:space="preserve"> </w:t>
      </w:r>
      <w:r>
        <w:rPr>
          <w:spacing w:val="8"/>
        </w:rPr>
        <w:t>实现不同城市间轨</w:t>
      </w:r>
      <w:r>
        <w:rPr>
          <w:spacing w:val="7"/>
        </w:rPr>
        <w:t>道标准统</w:t>
      </w:r>
    </w:p>
    <w:p>
      <w:pPr>
        <w:pStyle w:val="BodyText"/>
        <w:ind w:left="17"/>
        <w:spacing w:before="162" w:line="199" w:lineRule="auto"/>
        <w:rPr/>
      </w:pPr>
      <w:r>
        <w:rPr>
          <w:spacing w:val="-2"/>
        </w:rPr>
        <w:t>一、设施互联、票制互通、安检互信、支付兼容。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235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第二节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完善市场信息交互渠道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598"/>
        <w:spacing w:before="129" w:line="204" w:lineRule="auto"/>
        <w:outlineLvl w:val="2"/>
        <w:rPr/>
      </w:pPr>
      <w:r>
        <w:rPr>
          <w:rFonts w:ascii="SimHei" w:hAnsi="SimHei" w:eastAsia="SimHei" w:cs="SimHei"/>
          <w:spacing w:val="9"/>
        </w:rPr>
        <w:t>第十六条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各地区要制定并动态更新本级政务服务事项标准</w:t>
      </w:r>
    </w:p>
    <w:p>
      <w:pPr>
        <w:pStyle w:val="BodyText"/>
        <w:ind w:left="6" w:right="149" w:firstLine="1"/>
        <w:spacing w:before="163" w:line="271" w:lineRule="auto"/>
        <w:rPr/>
      </w:pPr>
      <w:r>
        <w:rPr>
          <w:spacing w:val="-6"/>
        </w:rPr>
        <w:t>化清单</w:t>
      </w:r>
      <w:r>
        <w:rPr>
          <w:spacing w:val="-33"/>
        </w:rPr>
        <w:t xml:space="preserve"> </w:t>
      </w:r>
      <w:r>
        <w:rPr>
          <w:spacing w:val="-6"/>
        </w:rPr>
        <w:t>，统一政务服务事项的名称、</w:t>
      </w:r>
      <w:r>
        <w:rPr>
          <w:spacing w:val="-54"/>
        </w:rPr>
        <w:t xml:space="preserve"> </w:t>
      </w:r>
      <w:r>
        <w:rPr>
          <w:spacing w:val="-6"/>
        </w:rPr>
        <w:t>申请材料、受理条件等内容，</w:t>
      </w:r>
      <w:r>
        <w:rPr/>
        <w:t xml:space="preserve"> </w:t>
      </w:r>
      <w:r>
        <w:rPr>
          <w:spacing w:val="-3"/>
        </w:rPr>
        <w:t>并根据清单内容制定审批标准</w:t>
      </w:r>
      <w:r>
        <w:rPr>
          <w:spacing w:val="-36"/>
        </w:rPr>
        <w:t xml:space="preserve"> </w:t>
      </w:r>
      <w:r>
        <w:rPr>
          <w:spacing w:val="-3"/>
        </w:rPr>
        <w:t>，编制标准化的办事</w:t>
      </w:r>
      <w:r>
        <w:rPr>
          <w:spacing w:val="-4"/>
        </w:rPr>
        <w:t>指南。</w:t>
      </w:r>
    </w:p>
    <w:p>
      <w:pPr>
        <w:pStyle w:val="BodyText"/>
        <w:ind w:left="598"/>
        <w:spacing w:before="3" w:line="203" w:lineRule="auto"/>
        <w:outlineLvl w:val="2"/>
        <w:rPr/>
      </w:pPr>
      <w:r>
        <w:rPr>
          <w:rFonts w:ascii="SimHei" w:hAnsi="SimHei" w:eastAsia="SimHei" w:cs="SimHei"/>
          <w:spacing w:val="9"/>
        </w:rPr>
        <w:t>第十七条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各地区要加快构建完善多级互联的政务数据共享</w:t>
      </w:r>
    </w:p>
    <w:p>
      <w:pPr>
        <w:pStyle w:val="BodyText"/>
        <w:ind w:left="14" w:right="118" w:hanging="2"/>
        <w:spacing w:before="161" w:line="271" w:lineRule="auto"/>
        <w:rPr/>
      </w:pPr>
      <w:r>
        <w:rPr>
          <w:spacing w:val="-6"/>
        </w:rPr>
        <w:t>交换平台体系</w:t>
      </w:r>
      <w:r>
        <w:rPr>
          <w:spacing w:val="-25"/>
        </w:rPr>
        <w:t xml:space="preserve"> </w:t>
      </w:r>
      <w:r>
        <w:rPr>
          <w:spacing w:val="-6"/>
        </w:rPr>
        <w:t>，统一明确数据共享的种类、标准、范围、流程</w:t>
      </w:r>
      <w:r>
        <w:rPr>
          <w:spacing w:val="-36"/>
        </w:rPr>
        <w:t xml:space="preserve"> </w:t>
      </w:r>
      <w:r>
        <w:rPr>
          <w:spacing w:val="-6"/>
        </w:rPr>
        <w:t>，推</w:t>
      </w:r>
      <w:r>
        <w:rPr/>
        <w:t xml:space="preserve"> </w:t>
      </w:r>
      <w:r>
        <w:rPr>
          <w:spacing w:val="-2"/>
        </w:rPr>
        <w:t>动跨区域、跨部门、跨层级的数据安全共享。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235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第三节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推动交易平台优化升级</w:t>
      </w:r>
    </w:p>
    <w:p>
      <w:pPr>
        <w:spacing w:line="239" w:lineRule="auto"/>
        <w:sectPr>
          <w:pgSz w:w="11906" w:h="16839"/>
          <w:pgMar w:top="1431" w:right="1499" w:bottom="0" w:left="1631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602"/>
        <w:spacing w:before="129" w:line="204" w:lineRule="auto"/>
        <w:rPr/>
      </w:pPr>
      <w:r>
        <w:rPr>
          <w:rFonts w:ascii="SimHei" w:hAnsi="SimHei" w:eastAsia="SimHei" w:cs="SimHei"/>
          <w:spacing w:val="-1"/>
        </w:rPr>
        <w:t>第十八条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有关部门要持续深化公共资源交易平台整合共享，</w:t>
      </w:r>
    </w:p>
    <w:p>
      <w:pPr>
        <w:pStyle w:val="BodyText"/>
        <w:ind w:left="6"/>
        <w:spacing w:before="162" w:line="199" w:lineRule="auto"/>
        <w:outlineLvl w:val="2"/>
        <w:rPr/>
      </w:pPr>
      <w:r>
        <w:rPr>
          <w:spacing w:val="-1"/>
        </w:rPr>
        <w:t>推动建立健全统一规范、信息共享的招标投标和政府、事业单位、</w:t>
      </w:r>
    </w:p>
    <w:p>
      <w:pPr>
        <w:pStyle w:val="BodyText"/>
        <w:ind w:left="16" w:right="112" w:firstLine="20"/>
        <w:spacing w:before="158" w:line="271" w:lineRule="auto"/>
        <w:rPr/>
      </w:pPr>
      <w:r>
        <w:rPr>
          <w:spacing w:val="-3"/>
        </w:rPr>
        <w:t>国有企业采购等公共资源交易平台体系，组织编制分类统一的公共</w:t>
      </w:r>
      <w:r>
        <w:rPr>
          <w:spacing w:val="9"/>
        </w:rPr>
        <w:t xml:space="preserve"> </w:t>
      </w:r>
      <w:r>
        <w:rPr>
          <w:spacing w:val="-2"/>
        </w:rPr>
        <w:t>资源交易平台系统技术标准和数据规范。</w:t>
      </w:r>
    </w:p>
    <w:p>
      <w:pPr>
        <w:pStyle w:val="BodyText"/>
        <w:ind w:left="602"/>
        <w:spacing w:before="4" w:line="204" w:lineRule="auto"/>
        <w:outlineLvl w:val="2"/>
        <w:rPr/>
      </w:pPr>
      <w:r>
        <w:rPr>
          <w:rFonts w:ascii="SimHei" w:hAnsi="SimHei" w:eastAsia="SimHei" w:cs="SimHei"/>
          <w:spacing w:val="9"/>
        </w:rPr>
        <w:t>第十九条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各地区要构建对接全国公共资源交易平台的省级</w:t>
      </w:r>
    </w:p>
    <w:p>
      <w:pPr>
        <w:pStyle w:val="BodyText"/>
        <w:ind w:left="1" w:right="112" w:firstLine="9"/>
        <w:spacing w:before="158" w:line="273" w:lineRule="auto"/>
        <w:jc w:val="both"/>
        <w:rPr/>
      </w:pPr>
      <w:r>
        <w:rPr>
          <w:spacing w:val="-2"/>
        </w:rPr>
        <w:t>统一的公共资源交易公共服务系统，推动公共服务系统与各类电子</w:t>
      </w:r>
      <w:r>
        <w:rPr>
          <w:spacing w:val="7"/>
        </w:rPr>
        <w:t xml:space="preserve"> </w:t>
      </w:r>
      <w:r>
        <w:rPr>
          <w:spacing w:val="8"/>
        </w:rPr>
        <w:t>交易系统及电子监管系统交互贯通，</w:t>
      </w:r>
      <w:r>
        <w:rPr>
          <w:spacing w:val="-55"/>
        </w:rPr>
        <w:t xml:space="preserve"> </w:t>
      </w:r>
      <w:r>
        <w:rPr>
          <w:spacing w:val="8"/>
        </w:rPr>
        <w:t>为各类交易和监管信息跨部</w:t>
      </w:r>
      <w:r>
        <w:rPr/>
        <w:t xml:space="preserve"> </w:t>
      </w:r>
      <w:r>
        <w:rPr>
          <w:spacing w:val="-2"/>
        </w:rPr>
        <w:t>门、跨地区共享提供数据通道和服务支撑，提升经营主体交易便利</w:t>
      </w:r>
      <w:r>
        <w:rPr>
          <w:spacing w:val="16"/>
        </w:rPr>
        <w:t xml:space="preserve"> </w:t>
      </w:r>
      <w:r>
        <w:rPr>
          <w:spacing w:val="-8"/>
        </w:rPr>
        <w:t>度。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1929"/>
        <w:spacing w:before="130" w:line="208" w:lineRule="auto"/>
        <w:outlineLvl w:val="0"/>
        <w:rPr/>
      </w:pPr>
      <w:r>
        <w:rPr>
          <w:spacing w:val="1"/>
        </w:rPr>
        <w:t>第四章   打造统一的要素和资源市场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1790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第一节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构建城乡统一的建设用地市场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602"/>
        <w:spacing w:before="129" w:line="204" w:lineRule="auto"/>
        <w:outlineLvl w:val="2"/>
        <w:rPr/>
      </w:pPr>
      <w:r>
        <w:rPr>
          <w:rFonts w:ascii="SimHei" w:hAnsi="SimHei" w:eastAsia="SimHei" w:cs="SimHei"/>
          <w:spacing w:val="-1"/>
        </w:rPr>
        <w:t>第二十条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有关部门要依法推动城乡土地要素市场化配置，依</w:t>
      </w:r>
    </w:p>
    <w:p>
      <w:pPr>
        <w:pStyle w:val="BodyText"/>
        <w:ind w:right="112" w:firstLine="3"/>
        <w:spacing w:before="164" w:line="272" w:lineRule="auto"/>
        <w:jc w:val="both"/>
        <w:rPr/>
      </w:pPr>
      <w:r>
        <w:rPr>
          <w:spacing w:val="-2"/>
        </w:rPr>
        <w:t>据国土空间规划在城市群、都市圈内探索区域建设用地指标统筹配</w:t>
      </w:r>
      <w:r>
        <w:rPr>
          <w:spacing w:val="14"/>
        </w:rPr>
        <w:t xml:space="preserve"> </w:t>
      </w:r>
      <w:r>
        <w:rPr>
          <w:spacing w:val="-2"/>
        </w:rPr>
        <w:t>置和毗邻区域建设用地协同供应，有序推进农村集体经营性建设用</w:t>
      </w:r>
      <w:r>
        <w:rPr>
          <w:spacing w:val="17"/>
        </w:rPr>
        <w:t xml:space="preserve"> </w:t>
      </w:r>
      <w:r>
        <w:rPr>
          <w:spacing w:val="-3"/>
        </w:rPr>
        <w:t>地入市改革。</w:t>
      </w:r>
    </w:p>
    <w:p>
      <w:pPr>
        <w:pStyle w:val="BodyText"/>
        <w:ind w:left="602"/>
        <w:spacing w:before="1" w:line="204" w:lineRule="auto"/>
        <w:outlineLvl w:val="2"/>
        <w:rPr/>
      </w:pPr>
      <w:r>
        <w:rPr>
          <w:rFonts w:ascii="SimHei" w:hAnsi="SimHei" w:eastAsia="SimHei" w:cs="SimHei"/>
          <w:spacing w:val="-2"/>
        </w:rPr>
        <w:t>第二十一条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各地区要在国家统一制度规定下，加快发展建设</w:t>
      </w:r>
    </w:p>
    <w:p>
      <w:pPr>
        <w:pStyle w:val="BodyText"/>
        <w:ind w:left="8" w:hanging="2"/>
        <w:spacing w:before="161" w:line="272" w:lineRule="auto"/>
        <w:jc w:val="both"/>
        <w:rPr/>
      </w:pPr>
      <w:r>
        <w:rPr>
          <w:spacing w:val="-4"/>
        </w:rPr>
        <w:t>用地二级市场</w:t>
      </w:r>
      <w:r>
        <w:rPr>
          <w:spacing w:val="-20"/>
        </w:rPr>
        <w:t xml:space="preserve"> </w:t>
      </w:r>
      <w:r>
        <w:rPr>
          <w:spacing w:val="-4"/>
        </w:rPr>
        <w:t>，适当优化建设用地交易申请、审批、价款和税费缴</w:t>
      </w:r>
      <w:r>
        <w:rPr/>
        <w:t xml:space="preserve">  </w:t>
      </w:r>
      <w:r>
        <w:rPr>
          <w:spacing w:val="-4"/>
        </w:rPr>
        <w:t>纳、登记等流程</w:t>
      </w:r>
      <w:r>
        <w:rPr>
          <w:spacing w:val="-36"/>
        </w:rPr>
        <w:t xml:space="preserve"> </w:t>
      </w:r>
      <w:r>
        <w:rPr>
          <w:spacing w:val="-4"/>
        </w:rPr>
        <w:t>，依托全国土地二级市场交易服</w:t>
      </w:r>
      <w:r>
        <w:rPr>
          <w:spacing w:val="-5"/>
        </w:rPr>
        <w:t>务平台，</w:t>
      </w:r>
      <w:r>
        <w:rPr>
          <w:spacing w:val="-68"/>
        </w:rPr>
        <w:t xml:space="preserve"> </w:t>
      </w:r>
      <w:r>
        <w:rPr>
          <w:spacing w:val="-5"/>
        </w:rPr>
        <w:t>汇集土地</w:t>
      </w:r>
      <w:r>
        <w:rPr/>
        <w:t xml:space="preserve">  </w:t>
      </w:r>
      <w:r>
        <w:rPr>
          <w:spacing w:val="-8"/>
        </w:rPr>
        <w:t>二级市场交易信息，主动发布公示地价、成交价、交易规则等信息。</w:t>
      </w:r>
    </w:p>
    <w:p>
      <w:pPr>
        <w:spacing w:line="272" w:lineRule="auto"/>
        <w:sectPr>
          <w:pgSz w:w="11906" w:h="16839"/>
          <w:pgMar w:top="1431" w:right="1504" w:bottom="0" w:left="1628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239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第二节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健全统一的劳动力市场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602"/>
        <w:spacing w:before="129" w:line="204" w:lineRule="auto"/>
        <w:outlineLvl w:val="2"/>
        <w:rPr/>
      </w:pPr>
      <w:r>
        <w:rPr>
          <w:rFonts w:ascii="SimHei" w:hAnsi="SimHei" w:eastAsia="SimHei" w:cs="SimHei"/>
          <w:spacing w:val="-1"/>
        </w:rPr>
        <w:t>第二十二条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有关部门要健全统一规范的人力资源市场体系，</w:t>
      </w:r>
    </w:p>
    <w:p>
      <w:pPr>
        <w:pStyle w:val="BodyText"/>
        <w:ind w:right="112" w:firstLine="16"/>
        <w:spacing w:before="160" w:line="272" w:lineRule="auto"/>
        <w:jc w:val="both"/>
        <w:rPr/>
      </w:pPr>
      <w:r>
        <w:rPr>
          <w:spacing w:val="-2"/>
        </w:rPr>
        <w:t>完善就业公共服务体系，建设全国就业公共服务平台，健全全国统</w:t>
      </w:r>
      <w:r>
        <w:rPr>
          <w:spacing w:val="1"/>
        </w:rPr>
        <w:t xml:space="preserve"> </w:t>
      </w:r>
      <w:r>
        <w:rPr>
          <w:spacing w:val="-3"/>
        </w:rPr>
        <w:t>一的社保公共服务平台，全面取消在就业地参保户</w:t>
      </w:r>
      <w:r>
        <w:rPr>
          <w:spacing w:val="-4"/>
        </w:rPr>
        <w:t>籍限制</w:t>
      </w:r>
      <w:r>
        <w:rPr>
          <w:spacing w:val="-36"/>
        </w:rPr>
        <w:t xml:space="preserve"> </w:t>
      </w:r>
      <w:r>
        <w:rPr>
          <w:spacing w:val="-4"/>
        </w:rPr>
        <w:t>，完善社</w:t>
      </w:r>
      <w:r>
        <w:rPr/>
        <w:t xml:space="preserve"> </w:t>
      </w:r>
      <w:r>
        <w:rPr>
          <w:spacing w:val="-2"/>
        </w:rPr>
        <w:t>保关系转移接续政策。</w:t>
      </w:r>
    </w:p>
    <w:p>
      <w:pPr>
        <w:pStyle w:val="BodyText"/>
        <w:ind w:left="602"/>
        <w:spacing w:before="3" w:line="204" w:lineRule="auto"/>
        <w:outlineLvl w:val="2"/>
        <w:rPr/>
      </w:pPr>
      <w:r>
        <w:rPr>
          <w:rFonts w:ascii="SimHei" w:hAnsi="SimHei" w:eastAsia="SimHei" w:cs="SimHei"/>
          <w:spacing w:val="-2"/>
        </w:rPr>
        <w:t>第二十三条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各地区不得在户籍、地域、身份、档案、人事关</w:t>
      </w:r>
    </w:p>
    <w:p>
      <w:pPr>
        <w:pStyle w:val="BodyText"/>
        <w:ind w:left="18" w:right="112" w:firstLine="8"/>
        <w:spacing w:before="161" w:line="271" w:lineRule="auto"/>
        <w:rPr/>
      </w:pPr>
      <w:r>
        <w:rPr>
          <w:spacing w:val="6"/>
        </w:rPr>
        <w:t>系等方面设置影响人才流动的政策性障碍</w:t>
      </w:r>
      <w:r>
        <w:rPr>
          <w:spacing w:val="-25"/>
        </w:rPr>
        <w:t xml:space="preserve"> </w:t>
      </w:r>
      <w:r>
        <w:rPr>
          <w:spacing w:val="6"/>
        </w:rPr>
        <w:t>，促进人才资源合理流</w:t>
      </w:r>
      <w:r>
        <w:rPr/>
        <w:t xml:space="preserve"> </w:t>
      </w:r>
      <w:r>
        <w:rPr>
          <w:spacing w:val="-5"/>
        </w:rPr>
        <w:t>动、有效配置。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090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第三节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加快发展统一的资本市场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602"/>
        <w:spacing w:before="129" w:line="204" w:lineRule="auto"/>
        <w:outlineLvl w:val="2"/>
        <w:rPr/>
      </w:pPr>
      <w:r>
        <w:rPr>
          <w:rFonts w:ascii="SimHei" w:hAnsi="SimHei" w:eastAsia="SimHei" w:cs="SimHei"/>
          <w:spacing w:val="-1"/>
        </w:rPr>
        <w:t>第二十四条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有关部门要强化金融基础设施建设与监管统筹，</w:t>
      </w:r>
    </w:p>
    <w:p>
      <w:pPr>
        <w:pStyle w:val="BodyText"/>
        <w:ind w:left="14" w:hanging="8"/>
        <w:spacing w:before="162" w:line="271" w:lineRule="auto"/>
        <w:rPr/>
      </w:pPr>
      <w:r>
        <w:rPr>
          <w:spacing w:val="8"/>
        </w:rPr>
        <w:t>加快制定出台金融基础设施监督管理办法，</w:t>
      </w:r>
      <w:r>
        <w:rPr>
          <w:spacing w:val="-61"/>
        </w:rPr>
        <w:t xml:space="preserve"> </w:t>
      </w:r>
      <w:r>
        <w:rPr>
          <w:spacing w:val="8"/>
        </w:rPr>
        <w:t>统一金融市场登记托</w:t>
      </w:r>
      <w:r>
        <w:rPr/>
        <w:t xml:space="preserve">  </w:t>
      </w:r>
      <w:r>
        <w:rPr>
          <w:spacing w:val="-8"/>
        </w:rPr>
        <w:t>管、结算清算规则制度。推动区域性股权市场规则对接、标</w:t>
      </w:r>
      <w:r>
        <w:rPr>
          <w:spacing w:val="-9"/>
        </w:rPr>
        <w:t>准统一。</w:t>
      </w:r>
    </w:p>
    <w:p>
      <w:pPr>
        <w:pStyle w:val="BodyText"/>
        <w:ind w:left="602"/>
        <w:spacing w:before="3" w:line="203" w:lineRule="auto"/>
        <w:outlineLvl w:val="2"/>
        <w:rPr/>
      </w:pPr>
      <w:r>
        <w:rPr>
          <w:rFonts w:ascii="SimHei" w:hAnsi="SimHei" w:eastAsia="SimHei" w:cs="SimHei"/>
          <w:spacing w:val="-1"/>
        </w:rPr>
        <w:t>第二十五条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鼓励有条件的地区建立经营主体档案数据库，在</w:t>
      </w:r>
    </w:p>
    <w:p>
      <w:pPr>
        <w:pStyle w:val="BodyText"/>
        <w:ind w:left="1" w:right="112" w:firstLine="15"/>
        <w:spacing w:before="166" w:line="272" w:lineRule="auto"/>
        <w:jc w:val="both"/>
        <w:rPr/>
      </w:pPr>
      <w:r>
        <w:rPr>
          <w:spacing w:val="-2"/>
        </w:rPr>
        <w:t>满足数据安全且不侵犯经营主体合法权益的前提下，依法依规将经</w:t>
      </w:r>
      <w:r>
        <w:rPr>
          <w:spacing w:val="1"/>
        </w:rPr>
        <w:t xml:space="preserve"> </w:t>
      </w:r>
      <w:r>
        <w:rPr>
          <w:spacing w:val="5"/>
        </w:rPr>
        <w:t>营主体基础信息</w:t>
      </w:r>
      <w:r>
        <w:rPr>
          <w:spacing w:val="-32"/>
        </w:rPr>
        <w:t xml:space="preserve"> </w:t>
      </w:r>
      <w:r>
        <w:rPr>
          <w:spacing w:val="5"/>
        </w:rPr>
        <w:t>、用</w:t>
      </w:r>
      <w:r>
        <w:rPr>
          <w:spacing w:val="-28"/>
        </w:rPr>
        <w:t xml:space="preserve"> </w:t>
      </w:r>
      <w:r>
        <w:rPr>
          <w:spacing w:val="5"/>
        </w:rPr>
        <w:t>电量等反映实际生产经营状况的信息归集整</w:t>
      </w:r>
      <w:r>
        <w:rPr/>
        <w:t xml:space="preserve"> </w:t>
      </w:r>
      <w:r>
        <w:rPr>
          <w:spacing w:val="-3"/>
        </w:rPr>
        <w:t>合</w:t>
      </w:r>
      <w:r>
        <w:rPr>
          <w:spacing w:val="-36"/>
        </w:rPr>
        <w:t xml:space="preserve"> </w:t>
      </w:r>
      <w:r>
        <w:rPr>
          <w:spacing w:val="-3"/>
        </w:rPr>
        <w:t>，强化与资本市场相关机构的信息共享以及与</w:t>
      </w:r>
      <w:r>
        <w:rPr>
          <w:spacing w:val="-4"/>
        </w:rPr>
        <w:t>银行信贷信息的互</w:t>
      </w:r>
      <w:r>
        <w:rPr/>
        <w:t xml:space="preserve"> </w:t>
      </w:r>
      <w:r>
        <w:rPr>
          <w:spacing w:val="-2"/>
        </w:rPr>
        <w:t>联互通，</w:t>
      </w:r>
      <w:r>
        <w:rPr>
          <w:spacing w:val="-56"/>
        </w:rPr>
        <w:t xml:space="preserve"> </w:t>
      </w:r>
      <w:r>
        <w:rPr>
          <w:spacing w:val="-2"/>
        </w:rPr>
        <w:t>为金融机构开展信贷风险评估提供数据支持。</w:t>
      </w:r>
    </w:p>
    <w:p>
      <w:pPr>
        <w:spacing w:line="272" w:lineRule="auto"/>
        <w:sectPr>
          <w:pgSz w:w="11906" w:h="16839"/>
          <w:pgMar w:top="1431" w:right="1504" w:bottom="0" w:left="1628" w:header="0" w:footer="0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1634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第四节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培育全国一体化技术和数据市场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spacing w:before="129" w:line="204" w:lineRule="auto"/>
        <w:outlineLvl w:val="2"/>
        <w:jc w:val="right"/>
        <w:rPr/>
      </w:pPr>
      <w:r>
        <w:rPr>
          <w:rFonts w:ascii="SimHei" w:hAnsi="SimHei" w:eastAsia="SimHei" w:cs="SimHei"/>
          <w:spacing w:val="-2"/>
        </w:rPr>
        <w:t>第二十六条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有关部门要大力推进全国统一、互联互通的技术</w:t>
      </w:r>
    </w:p>
    <w:p>
      <w:pPr>
        <w:pStyle w:val="BodyText"/>
        <w:ind w:firstLine="11"/>
        <w:spacing w:before="163" w:line="271" w:lineRule="auto"/>
        <w:rPr/>
      </w:pPr>
      <w:r>
        <w:rPr>
          <w:spacing w:val="-7"/>
        </w:rPr>
        <w:t>交易</w:t>
      </w:r>
      <w:r>
        <w:rPr>
          <w:spacing w:val="-6"/>
        </w:rPr>
        <w:t>市场建设</w:t>
      </w:r>
      <w:r>
        <w:rPr>
          <w:spacing w:val="-25"/>
        </w:rPr>
        <w:t xml:space="preserve"> </w:t>
      </w:r>
      <w:r>
        <w:rPr>
          <w:spacing w:val="-6"/>
        </w:rPr>
        <w:t>，加强跨区域交易信息联合发布</w:t>
      </w:r>
      <w:r>
        <w:rPr>
          <w:spacing w:val="-36"/>
        </w:rPr>
        <w:t xml:space="preserve"> </w:t>
      </w:r>
      <w:r>
        <w:rPr>
          <w:spacing w:val="-6"/>
        </w:rPr>
        <w:t>，完善技术与资本</w:t>
      </w:r>
      <w:r>
        <w:rPr>
          <w:spacing w:val="-4"/>
        </w:rPr>
        <w:t>对</w:t>
      </w:r>
      <w:r>
        <w:rPr/>
        <w:t xml:space="preserve"> </w:t>
      </w:r>
      <w:r>
        <w:rPr>
          <w:spacing w:val="-5"/>
        </w:rPr>
        <w:t>接平台。</w:t>
      </w:r>
    </w:p>
    <w:p>
      <w:pPr>
        <w:pStyle w:val="BodyText"/>
        <w:spacing w:before="1" w:line="203" w:lineRule="auto"/>
        <w:outlineLvl w:val="2"/>
        <w:jc w:val="right"/>
        <w:rPr/>
      </w:pPr>
      <w:r>
        <w:rPr>
          <w:rFonts w:ascii="SimHei" w:hAnsi="SimHei" w:eastAsia="SimHei" w:cs="SimHei"/>
          <w:spacing w:val="-3"/>
        </w:rPr>
        <w:t>第二十七条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有关部门要加快完善统一的数据资源登记规则，</w:t>
      </w:r>
    </w:p>
    <w:p>
      <w:pPr>
        <w:pStyle w:val="BodyText"/>
        <w:ind w:left="5"/>
        <w:spacing w:before="161" w:line="271" w:lineRule="auto"/>
        <w:rPr/>
      </w:pPr>
      <w:r>
        <w:rPr>
          <w:spacing w:val="-2"/>
        </w:rPr>
        <w:t>制定全国统一的数据交易、安全等标准体系，促进数据要素合规高</w:t>
      </w:r>
      <w:r>
        <w:rPr>
          <w:spacing w:val="7"/>
        </w:rPr>
        <w:t xml:space="preserve"> </w:t>
      </w:r>
      <w:r>
        <w:rPr>
          <w:spacing w:val="-4"/>
        </w:rPr>
        <w:t>效流通交易</w:t>
      </w:r>
      <w:r>
        <w:rPr>
          <w:spacing w:val="-30"/>
        </w:rPr>
        <w:t xml:space="preserve"> </w:t>
      </w:r>
      <w:r>
        <w:rPr>
          <w:spacing w:val="-4"/>
        </w:rPr>
        <w:t>，建立健全数据要素收益分配制度。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785"/>
        <w:spacing w:before="97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第五节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建设全国统一的能源市场体系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spacing w:before="129" w:line="205" w:lineRule="auto"/>
        <w:outlineLvl w:val="2"/>
        <w:jc w:val="right"/>
        <w:rPr/>
      </w:pPr>
      <w:r>
        <w:rPr>
          <w:rFonts w:ascii="SimHei" w:hAnsi="SimHei" w:eastAsia="SimHei" w:cs="SimHei"/>
          <w:spacing w:val="9"/>
        </w:rPr>
        <w:t>第二十八条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有关部门要建立完善适应全国统一电力市场体</w:t>
      </w:r>
    </w:p>
    <w:p>
      <w:pPr>
        <w:pStyle w:val="BodyText"/>
        <w:ind w:left="4" w:firstLine="17"/>
        <w:spacing w:before="156" w:line="273" w:lineRule="auto"/>
        <w:jc w:val="both"/>
        <w:rPr/>
      </w:pPr>
      <w:r>
        <w:rPr>
          <w:spacing w:val="-3"/>
        </w:rPr>
        <w:t>系要求的规则制度体系，</w:t>
      </w:r>
      <w:r>
        <w:rPr>
          <w:spacing w:val="-60"/>
        </w:rPr>
        <w:t xml:space="preserve"> </w:t>
      </w:r>
      <w:r>
        <w:rPr>
          <w:spacing w:val="-3"/>
        </w:rPr>
        <w:t>明确交易规则制定</w:t>
      </w:r>
      <w:r>
        <w:rPr>
          <w:spacing w:val="-4"/>
        </w:rPr>
        <w:t>权限、适用范围和衔接</w:t>
      </w:r>
      <w:r>
        <w:rPr/>
        <w:t xml:space="preserve"> </w:t>
      </w:r>
      <w:r>
        <w:rPr>
          <w:spacing w:val="-2"/>
        </w:rPr>
        <w:t>不同交易规则等原则。有关监管机构及地方有关部门应以国家有关</w:t>
      </w:r>
      <w:r>
        <w:rPr>
          <w:spacing w:val="8"/>
        </w:rPr>
        <w:t xml:space="preserve"> </w:t>
      </w:r>
      <w:r>
        <w:rPr>
          <w:spacing w:val="-4"/>
        </w:rPr>
        <w:t>规定为依据</w:t>
      </w:r>
      <w:r>
        <w:rPr>
          <w:spacing w:val="-23"/>
        </w:rPr>
        <w:t xml:space="preserve"> </w:t>
      </w:r>
      <w:r>
        <w:rPr>
          <w:spacing w:val="-4"/>
        </w:rPr>
        <w:t>，组织制定、修订完善适应本地区需求的交易规则或交</w:t>
      </w:r>
      <w:r>
        <w:rPr/>
        <w:t xml:space="preserve"> </w:t>
      </w:r>
      <w:r>
        <w:rPr>
          <w:spacing w:val="-6"/>
        </w:rPr>
        <w:t>易细则。</w:t>
      </w:r>
    </w:p>
    <w:p>
      <w:pPr>
        <w:pStyle w:val="BodyText"/>
        <w:spacing w:before="3" w:line="204" w:lineRule="auto"/>
        <w:outlineLvl w:val="2"/>
        <w:jc w:val="right"/>
        <w:rPr/>
      </w:pPr>
      <w:r>
        <w:rPr>
          <w:rFonts w:ascii="SimHei" w:hAnsi="SimHei" w:eastAsia="SimHei" w:cs="SimHei"/>
          <w:spacing w:val="-4"/>
        </w:rPr>
        <w:t>第</w:t>
      </w:r>
      <w:r>
        <w:rPr>
          <w:rFonts w:ascii="SimHei" w:hAnsi="SimHei" w:eastAsia="SimHei" w:cs="SimHei"/>
          <w:spacing w:val="-3"/>
        </w:rPr>
        <w:t>二十九条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有关部门、各地区要坚持总体融入的原则，</w:t>
      </w:r>
      <w:r>
        <w:rPr>
          <w:spacing w:val="-48"/>
        </w:rPr>
        <w:t xml:space="preserve"> </w:t>
      </w:r>
      <w:r>
        <w:rPr>
          <w:spacing w:val="-3"/>
        </w:rPr>
        <w:t>因</w:t>
      </w:r>
      <w:r>
        <w:rPr>
          <w:spacing w:val="-2"/>
        </w:rPr>
        <w:t>地</w:t>
      </w:r>
    </w:p>
    <w:p>
      <w:pPr>
        <w:pStyle w:val="BodyText"/>
        <w:ind w:left="12" w:hanging="7"/>
        <w:spacing w:before="162" w:line="272" w:lineRule="auto"/>
        <w:jc w:val="both"/>
        <w:rPr/>
      </w:pPr>
      <w:r>
        <w:rPr>
          <w:spacing w:val="-4"/>
        </w:rPr>
        <w:t>制宜、厘清边界、模式引导、平衡利益</w:t>
      </w:r>
      <w:r>
        <w:rPr>
          <w:spacing w:val="-24"/>
        </w:rPr>
        <w:t xml:space="preserve"> </w:t>
      </w:r>
      <w:r>
        <w:rPr>
          <w:spacing w:val="-4"/>
        </w:rPr>
        <w:t>，建立完善适应“全国一张</w:t>
      </w:r>
      <w:r>
        <w:rPr/>
        <w:t xml:space="preserve"> </w:t>
      </w:r>
      <w:r>
        <w:rPr>
          <w:spacing w:val="-5"/>
        </w:rPr>
        <w:t>网</w:t>
      </w:r>
      <w:r>
        <w:rPr>
          <w:spacing w:val="-55"/>
        </w:rPr>
        <w:t xml:space="preserve"> </w:t>
      </w:r>
      <w:r>
        <w:rPr>
          <w:spacing w:val="-5"/>
        </w:rPr>
        <w:t>”建设运营的油气市场制度体系，促进基础设施公平开放</w:t>
      </w:r>
      <w:r>
        <w:rPr>
          <w:spacing w:val="-36"/>
        </w:rPr>
        <w:t xml:space="preserve"> </w:t>
      </w:r>
      <w:r>
        <w:rPr>
          <w:spacing w:val="-5"/>
        </w:rPr>
        <w:t>，优化</w:t>
      </w:r>
      <w:r>
        <w:rPr/>
        <w:t xml:space="preserve"> </w:t>
      </w:r>
      <w:r>
        <w:rPr>
          <w:spacing w:val="-5"/>
        </w:rPr>
        <w:t>油气资源配置。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485"/>
        <w:spacing w:before="99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第六节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培育发展全国统一的资源环境市场</w:t>
      </w:r>
    </w:p>
    <w:p>
      <w:pPr>
        <w:spacing w:line="239" w:lineRule="auto"/>
        <w:sectPr>
          <w:pgSz w:w="11906" w:h="16839"/>
          <w:pgMar w:top="1431" w:right="1617" w:bottom="0" w:left="1632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spacing w:before="128" w:line="204" w:lineRule="auto"/>
        <w:outlineLvl w:val="2"/>
        <w:jc w:val="right"/>
        <w:rPr/>
      </w:pPr>
      <w:r>
        <w:rPr>
          <w:rFonts w:ascii="SimHei" w:hAnsi="SimHei" w:eastAsia="SimHei" w:cs="SimHei"/>
          <w:spacing w:val="-2"/>
        </w:rPr>
        <w:t>第三十条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有关部门要分领域健全完善资源环境要素确权、登</w:t>
      </w:r>
    </w:p>
    <w:p>
      <w:pPr>
        <w:pStyle w:val="BodyText"/>
        <w:ind w:left="11" w:hanging="7"/>
        <w:spacing w:before="160" w:line="271" w:lineRule="auto"/>
        <w:rPr/>
      </w:pPr>
      <w:r>
        <w:rPr>
          <w:spacing w:val="-4"/>
        </w:rPr>
        <w:t>记、抵押、流转等制度</w:t>
      </w:r>
      <w:r>
        <w:rPr>
          <w:spacing w:val="-22"/>
        </w:rPr>
        <w:t xml:space="preserve"> </w:t>
      </w:r>
      <w:r>
        <w:rPr>
          <w:spacing w:val="-4"/>
        </w:rPr>
        <w:t>，在数据归集、产品交易、信息发布、监督</w:t>
      </w:r>
      <w:r>
        <w:rPr/>
        <w:t xml:space="preserve"> </w:t>
      </w:r>
      <w:r>
        <w:rPr>
          <w:spacing w:val="-2"/>
        </w:rPr>
        <w:t>管理等方面加快形成统一交易规则体系。</w:t>
      </w:r>
    </w:p>
    <w:p>
      <w:pPr>
        <w:pStyle w:val="BodyText"/>
        <w:spacing w:before="2" w:line="204" w:lineRule="auto"/>
        <w:outlineLvl w:val="2"/>
        <w:jc w:val="right"/>
        <w:rPr/>
      </w:pPr>
      <w:r>
        <w:rPr>
          <w:rFonts w:ascii="SimHei" w:hAnsi="SimHei" w:eastAsia="SimHei" w:cs="SimHei"/>
          <w:spacing w:val="9"/>
        </w:rPr>
        <w:t>第三十一条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鼓励有条件的地区建立实施省域内统一的排污</w:t>
      </w:r>
    </w:p>
    <w:p>
      <w:pPr>
        <w:pStyle w:val="BodyText"/>
        <w:ind w:left="13" w:hanging="14"/>
        <w:spacing w:before="162" w:line="271" w:lineRule="auto"/>
        <w:rPr/>
      </w:pPr>
      <w:r>
        <w:rPr>
          <w:spacing w:val="-2"/>
        </w:rPr>
        <w:t>权有偿使用和交易制度，根据污染物减排工作需要有序扩大交易类</w:t>
      </w:r>
      <w:r>
        <w:rPr>
          <w:spacing w:val="14"/>
        </w:rPr>
        <w:t xml:space="preserve"> </w:t>
      </w:r>
      <w:r>
        <w:rPr>
          <w:spacing w:val="-2"/>
        </w:rPr>
        <w:t>型和区域范围。针对区域联防联控、协同共治的大气、水等领域重</w:t>
      </w:r>
    </w:p>
    <w:p>
      <w:pPr>
        <w:pStyle w:val="BodyText"/>
        <w:ind w:left="19"/>
        <w:spacing w:before="13" w:line="199" w:lineRule="auto"/>
        <w:outlineLvl w:val="0"/>
        <w:rPr/>
      </w:pPr>
      <w:r>
        <w:rPr>
          <w:spacing w:val="-5"/>
        </w:rPr>
        <w:t>点污染物</w:t>
      </w:r>
      <w:r>
        <w:rPr>
          <w:spacing w:val="-22"/>
        </w:rPr>
        <w:t xml:space="preserve"> </w:t>
      </w:r>
      <w:r>
        <w:rPr>
          <w:spacing w:val="-5"/>
        </w:rPr>
        <w:t>，探索开展跨省级行政区排污权交易。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626"/>
        <w:spacing w:before="129" w:line="184" w:lineRule="auto"/>
        <w:rPr/>
      </w:pPr>
      <w:r>
        <w:rPr>
          <w:spacing w:val="1"/>
        </w:rPr>
        <w:t>第五章   推进商品和服务市场高水平统一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2535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第一节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健全商品质量体系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spacing w:before="129" w:line="204" w:lineRule="auto"/>
        <w:outlineLvl w:val="2"/>
        <w:jc w:val="right"/>
        <w:rPr/>
      </w:pPr>
      <w:r>
        <w:rPr>
          <w:rFonts w:ascii="SimHei" w:hAnsi="SimHei" w:eastAsia="SimHei" w:cs="SimHei"/>
          <w:spacing w:val="-3"/>
        </w:rPr>
        <w:t>第三十二条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有关部门要建立健全消费品质量分级标准体系，</w:t>
      </w:r>
    </w:p>
    <w:p>
      <w:pPr>
        <w:pStyle w:val="BodyText"/>
        <w:ind w:left="12" w:right="31" w:hanging="4"/>
        <w:spacing w:before="162" w:line="271" w:lineRule="auto"/>
        <w:rPr/>
      </w:pPr>
      <w:r>
        <w:rPr>
          <w:spacing w:val="-5"/>
        </w:rPr>
        <w:t>深化实施产品质量分级评价</w:t>
      </w:r>
      <w:r>
        <w:rPr>
          <w:spacing w:val="-28"/>
        </w:rPr>
        <w:t xml:space="preserve"> </w:t>
      </w:r>
      <w:r>
        <w:rPr>
          <w:spacing w:val="-5"/>
        </w:rPr>
        <w:t>；推动产品和服务消费体验标准研制，</w:t>
      </w:r>
      <w:r>
        <w:rPr/>
        <w:t xml:space="preserve"> </w:t>
      </w:r>
      <w:r>
        <w:rPr>
          <w:spacing w:val="-3"/>
        </w:rPr>
        <w:t>完善重点领域消费品的统一标准</w:t>
      </w:r>
      <w:r>
        <w:rPr>
          <w:spacing w:val="-36"/>
        </w:rPr>
        <w:t xml:space="preserve"> </w:t>
      </w:r>
      <w:r>
        <w:rPr>
          <w:spacing w:val="-3"/>
        </w:rPr>
        <w:t>，提升重点行</w:t>
      </w:r>
      <w:r>
        <w:rPr>
          <w:spacing w:val="-4"/>
        </w:rPr>
        <w:t>业产品质量。</w:t>
      </w:r>
    </w:p>
    <w:p>
      <w:pPr>
        <w:pStyle w:val="BodyText"/>
        <w:spacing w:before="1" w:line="200" w:lineRule="auto"/>
        <w:outlineLvl w:val="2"/>
        <w:jc w:val="right"/>
        <w:rPr/>
      </w:pPr>
      <w:r>
        <w:rPr>
          <w:rFonts w:ascii="SimHei" w:hAnsi="SimHei" w:eastAsia="SimHei" w:cs="SimHei"/>
          <w:spacing w:val="-2"/>
        </w:rPr>
        <w:t>第三十三条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鼓励各地区实行强制性产品认证（</w:t>
      </w:r>
      <w:r>
        <w:rPr>
          <w:rFonts w:ascii="Times New Roman" w:hAnsi="Times New Roman" w:eastAsia="Times New Roman" w:cs="Times New Roman"/>
          <w:spacing w:val="-2"/>
        </w:rPr>
        <w:t>CCC</w:t>
      </w:r>
      <w:r>
        <w:rPr>
          <w:spacing w:val="-2"/>
        </w:rPr>
        <w:t>）免办监</w:t>
      </w:r>
    </w:p>
    <w:p>
      <w:pPr>
        <w:pStyle w:val="BodyText"/>
        <w:ind w:left="3" w:firstLine="8"/>
        <w:spacing w:before="171" w:line="271" w:lineRule="auto"/>
        <w:rPr/>
      </w:pPr>
      <w:r>
        <w:rPr>
          <w:spacing w:val="-8"/>
        </w:rPr>
        <w:t>管结果</w:t>
      </w:r>
      <w:r>
        <w:rPr>
          <w:spacing w:val="-7"/>
        </w:rPr>
        <w:t>互认、</w:t>
      </w:r>
      <w:r>
        <w:rPr>
          <w:spacing w:val="-44"/>
        </w:rPr>
        <w:t xml:space="preserve"> </w:t>
      </w:r>
      <w:r>
        <w:rPr>
          <w:spacing w:val="-7"/>
        </w:rPr>
        <w:t>自愿性认证监管一体化</w:t>
      </w:r>
      <w:r>
        <w:rPr>
          <w:spacing w:val="-36"/>
        </w:rPr>
        <w:t xml:space="preserve"> </w:t>
      </w:r>
      <w:r>
        <w:rPr>
          <w:spacing w:val="-7"/>
        </w:rPr>
        <w:t>，深化质量认证制度改</w:t>
      </w:r>
      <w:r>
        <w:rPr>
          <w:spacing w:val="-8"/>
        </w:rPr>
        <w:t>革</w:t>
      </w:r>
      <w:r>
        <w:rPr>
          <w:spacing w:val="-36"/>
        </w:rPr>
        <w:t xml:space="preserve"> </w:t>
      </w:r>
      <w:r>
        <w:rPr>
          <w:spacing w:val="-8"/>
        </w:rPr>
        <w:t>，</w:t>
      </w:r>
      <w:r>
        <w:rPr>
          <w:spacing w:val="-5"/>
        </w:rPr>
        <w:t>完</w:t>
      </w:r>
      <w:r>
        <w:rPr/>
        <w:t xml:space="preserve"> </w:t>
      </w:r>
      <w:r>
        <w:rPr>
          <w:spacing w:val="-3"/>
        </w:rPr>
        <w:t>善统一的质量认证体系</w:t>
      </w:r>
      <w:r>
        <w:rPr>
          <w:spacing w:val="-26"/>
        </w:rPr>
        <w:t xml:space="preserve"> </w:t>
      </w:r>
      <w:r>
        <w:rPr>
          <w:spacing w:val="-3"/>
        </w:rPr>
        <w:t>，推动认证结果跨行业跨区域互通互认。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386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第二节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完善标准和计量体系</w:t>
      </w:r>
    </w:p>
    <w:p>
      <w:pPr>
        <w:spacing w:line="239" w:lineRule="auto"/>
        <w:sectPr>
          <w:pgSz w:w="11906" w:h="16839"/>
          <w:pgMar w:top="1431" w:right="1617" w:bottom="0" w:left="1631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spacing w:before="129" w:line="205" w:lineRule="auto"/>
        <w:outlineLvl w:val="2"/>
        <w:jc w:val="right"/>
        <w:rPr/>
      </w:pPr>
      <w:r>
        <w:rPr>
          <w:rFonts w:ascii="SimHei" w:hAnsi="SimHei" w:eastAsia="SimHei" w:cs="SimHei"/>
          <w:spacing w:val="9"/>
        </w:rPr>
        <w:t>第三十四条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有关部门要建立健全协调统一的强制性国家标</w:t>
      </w:r>
    </w:p>
    <w:p>
      <w:pPr>
        <w:pStyle w:val="BodyText"/>
        <w:ind w:firstLine="9"/>
        <w:spacing w:before="158" w:line="273" w:lineRule="auto"/>
        <w:jc w:val="both"/>
        <w:rPr/>
      </w:pPr>
      <w:r>
        <w:rPr>
          <w:spacing w:val="-4"/>
        </w:rPr>
        <w:t>准体系</w:t>
      </w:r>
      <w:r>
        <w:rPr>
          <w:spacing w:val="-23"/>
        </w:rPr>
        <w:t xml:space="preserve"> </w:t>
      </w:r>
      <w:r>
        <w:rPr>
          <w:spacing w:val="-4"/>
        </w:rPr>
        <w:t>，加快推动家用电器、家具、电动自行车等消费品行业重点</w:t>
      </w:r>
      <w:r>
        <w:rPr/>
        <w:t xml:space="preserve"> </w:t>
      </w:r>
      <w:r>
        <w:rPr>
          <w:spacing w:val="-3"/>
        </w:rPr>
        <w:t>领域强制性国家标准制修订</w:t>
      </w:r>
      <w:r>
        <w:rPr>
          <w:spacing w:val="-38"/>
        </w:rPr>
        <w:t xml:space="preserve"> </w:t>
      </w:r>
      <w:r>
        <w:rPr>
          <w:spacing w:val="-3"/>
        </w:rPr>
        <w:t>；健全现代流通、大数据、</w:t>
      </w:r>
      <w:r>
        <w:rPr>
          <w:spacing w:val="-4"/>
        </w:rPr>
        <w:t>人工智能、</w:t>
      </w:r>
      <w:r>
        <w:rPr/>
        <w:t xml:space="preserve"> </w:t>
      </w:r>
      <w:r>
        <w:rPr>
          <w:spacing w:val="-3"/>
        </w:rPr>
        <w:t>自动驾驶、区块链等领域标准体系</w:t>
      </w:r>
      <w:r>
        <w:rPr>
          <w:spacing w:val="-38"/>
        </w:rPr>
        <w:t xml:space="preserve"> </w:t>
      </w:r>
      <w:r>
        <w:rPr>
          <w:spacing w:val="-3"/>
        </w:rPr>
        <w:t>；推动智能家居、智</w:t>
      </w:r>
      <w:r>
        <w:rPr>
          <w:spacing w:val="-4"/>
        </w:rPr>
        <w:t>能安防等领</w:t>
      </w:r>
      <w:r>
        <w:rPr/>
        <w:t xml:space="preserve"> </w:t>
      </w:r>
      <w:r>
        <w:rPr>
          <w:spacing w:val="-2"/>
        </w:rPr>
        <w:t>域标准统一衔接。</w:t>
      </w:r>
    </w:p>
    <w:p>
      <w:pPr>
        <w:pStyle w:val="BodyText"/>
        <w:spacing w:before="1" w:line="204" w:lineRule="auto"/>
        <w:outlineLvl w:val="2"/>
        <w:jc w:val="right"/>
        <w:rPr/>
      </w:pPr>
      <w:r>
        <w:rPr>
          <w:rFonts w:ascii="SimHei" w:hAnsi="SimHei" w:eastAsia="SimHei" w:cs="SimHei"/>
          <w:spacing w:val="9"/>
        </w:rPr>
        <w:t>第三十五条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各地区要研究制定省域内社会公用计量标准建</w:t>
      </w:r>
    </w:p>
    <w:p>
      <w:pPr>
        <w:pStyle w:val="BodyText"/>
        <w:ind w:left="3"/>
        <w:spacing w:before="162" w:line="272" w:lineRule="auto"/>
        <w:jc w:val="both"/>
        <w:rPr/>
      </w:pPr>
      <w:r>
        <w:rPr>
          <w:spacing w:val="-3"/>
        </w:rPr>
        <w:t>设规划和指导目录</w:t>
      </w:r>
      <w:r>
        <w:rPr>
          <w:spacing w:val="-36"/>
        </w:rPr>
        <w:t xml:space="preserve"> </w:t>
      </w:r>
      <w:r>
        <w:rPr>
          <w:spacing w:val="-3"/>
        </w:rPr>
        <w:t>，积极探索加强省际计量</w:t>
      </w:r>
      <w:r>
        <w:rPr>
          <w:spacing w:val="-4"/>
        </w:rPr>
        <w:t>服务协同，构建省际计</w:t>
      </w:r>
      <w:r>
        <w:rPr/>
        <w:t xml:space="preserve"> </w:t>
      </w:r>
      <w:r>
        <w:rPr>
          <w:spacing w:val="-2"/>
        </w:rPr>
        <w:t>量技术机构技术服务协同平台，推进区域计量互认和区域诚信计量</w:t>
      </w:r>
      <w:r>
        <w:rPr>
          <w:spacing w:val="14"/>
        </w:rPr>
        <w:t xml:space="preserve"> </w:t>
      </w:r>
      <w:r>
        <w:rPr>
          <w:spacing w:val="-4"/>
        </w:rPr>
        <w:t>建设，</w:t>
      </w:r>
      <w:r>
        <w:rPr>
          <w:spacing w:val="-51"/>
        </w:rPr>
        <w:t xml:space="preserve"> </w:t>
      </w:r>
      <w:r>
        <w:rPr>
          <w:spacing w:val="-4"/>
        </w:rPr>
        <w:t>强化区域计量监管合作。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239"/>
        <w:spacing w:before="97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第三节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全面提升消费服务质量</w:t>
      </w: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8659" w:type="dxa"/>
        <w:tblInd w:w="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01"/>
        <w:gridCol w:w="6358"/>
      </w:tblGrid>
      <w:tr>
        <w:trPr>
          <w:trHeight w:val="470" w:hRule="atLeast"/>
        </w:trPr>
        <w:tc>
          <w:tcPr>
            <w:tcW w:w="2301" w:type="dxa"/>
            <w:vAlign w:val="top"/>
          </w:tcPr>
          <w:p>
            <w:pPr>
              <w:ind w:left="601"/>
              <w:spacing w:line="239" w:lineRule="auto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SimHei" w:hAnsi="SimHei" w:eastAsia="SimHei" w:cs="SimHei"/>
                <w:sz w:val="30"/>
                <w:szCs w:val="30"/>
                <w:spacing w:val="-4"/>
              </w:rPr>
              <w:t>第三十六条</w:t>
            </w:r>
          </w:p>
        </w:tc>
        <w:tc>
          <w:tcPr>
            <w:tcW w:w="6358" w:type="dxa"/>
            <w:vAlign w:val="top"/>
          </w:tcPr>
          <w:p>
            <w:pPr>
              <w:spacing w:before="10" w:line="199" w:lineRule="auto"/>
              <w:outlineLvl w:val="2"/>
              <w:jc w:val="right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12"/>
              </w:rPr>
              <w:t>各地区要持续完善并严格执行缺陷产品召回制</w:t>
            </w:r>
          </w:p>
        </w:tc>
      </w:tr>
      <w:tr>
        <w:trPr>
          <w:trHeight w:val="588" w:hRule="atLeast"/>
        </w:trPr>
        <w:tc>
          <w:tcPr>
            <w:tcW w:w="2301" w:type="dxa"/>
            <w:vAlign w:val="top"/>
          </w:tcPr>
          <w:p>
            <w:pPr>
              <w:spacing w:before="128" w:line="199" w:lineRule="auto"/>
              <w:jc w:val="right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17"/>
              </w:rPr>
              <w:t>度，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5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17"/>
              </w:rPr>
              <w:t>以儿童用品、</w:t>
            </w:r>
          </w:p>
        </w:tc>
        <w:tc>
          <w:tcPr>
            <w:tcW w:w="6358" w:type="dxa"/>
            <w:vAlign w:val="top"/>
          </w:tcPr>
          <w:p>
            <w:pPr>
              <w:spacing w:before="128" w:line="199" w:lineRule="auto"/>
              <w:jc w:val="right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7"/>
              </w:rPr>
              <w:t>电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6"/>
              </w:rPr>
              <w:t>子电器产品为重点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2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6"/>
              </w:rPr>
              <w:t>，加大缺陷消费品召回监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5"/>
              </w:rPr>
              <w:t>管</w:t>
            </w:r>
          </w:p>
        </w:tc>
      </w:tr>
      <w:tr>
        <w:trPr>
          <w:trHeight w:val="582" w:hRule="atLeast"/>
        </w:trPr>
        <w:tc>
          <w:tcPr>
            <w:tcW w:w="2301" w:type="dxa"/>
            <w:vAlign w:val="top"/>
          </w:tcPr>
          <w:p>
            <w:pPr>
              <w:ind w:left="10"/>
              <w:spacing w:before="130" w:line="199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9"/>
              </w:rPr>
              <w:t>力度。</w:t>
            </w:r>
          </w:p>
        </w:tc>
        <w:tc>
          <w:tcPr>
            <w:tcW w:w="6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2301" w:type="dxa"/>
            <w:vAlign w:val="top"/>
          </w:tcPr>
          <w:p>
            <w:pPr>
              <w:ind w:left="601"/>
              <w:spacing w:before="123" w:line="204" w:lineRule="auto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SimHei" w:hAnsi="SimHei" w:eastAsia="SimHei" w:cs="SimHei"/>
                <w:sz w:val="30"/>
                <w:szCs w:val="30"/>
                <w:spacing w:val="-4"/>
              </w:rPr>
              <w:t>第三十七条</w:t>
            </w:r>
          </w:p>
        </w:tc>
        <w:tc>
          <w:tcPr>
            <w:tcW w:w="6358" w:type="dxa"/>
            <w:vAlign w:val="top"/>
          </w:tcPr>
          <w:p>
            <w:pPr>
              <w:spacing w:before="135" w:line="320" w:lineRule="exact"/>
              <w:jc w:val="right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4"/>
                <w:position w:val="-1"/>
              </w:rPr>
              <w:t>鼓励各地区进一步畅通异地、异店退换货通道，</w:t>
            </w:r>
          </w:p>
        </w:tc>
      </w:tr>
    </w:tbl>
    <w:p>
      <w:pPr>
        <w:pStyle w:val="BodyText"/>
        <w:spacing w:before="258" w:line="198" w:lineRule="auto"/>
        <w:outlineLvl w:val="2"/>
        <w:jc w:val="right"/>
        <w:rPr/>
      </w:pPr>
      <w:r>
        <w:rPr>
          <w:spacing w:val="-2"/>
        </w:rPr>
        <w:t>引导全国布局的品牌连锁实体店、厂商直营实体店</w:t>
      </w:r>
      <w:r>
        <w:rPr>
          <w:spacing w:val="-3"/>
        </w:rPr>
        <w:t>、大型连锁商场</w:t>
      </w:r>
    </w:p>
    <w:p>
      <w:pPr>
        <w:pStyle w:val="BodyText"/>
        <w:ind w:left="3"/>
        <w:spacing w:before="163" w:line="199" w:lineRule="auto"/>
        <w:outlineLvl w:val="0"/>
        <w:rPr/>
      </w:pPr>
      <w:r>
        <w:rPr>
          <w:spacing w:val="-1"/>
        </w:rPr>
        <w:t>超市探索实行省域内异地异店退换货。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229"/>
        <w:spacing w:before="128" w:line="182" w:lineRule="auto"/>
        <w:rPr/>
      </w:pPr>
      <w:r>
        <w:rPr>
          <w:spacing w:val="-1"/>
        </w:rPr>
        <w:t>第六章</w:t>
      </w:r>
      <w:r>
        <w:rPr>
          <w:spacing w:val="13"/>
        </w:rPr>
        <w:t xml:space="preserve">   </w:t>
      </w:r>
      <w:r>
        <w:rPr>
          <w:spacing w:val="-1"/>
        </w:rPr>
        <w:t>推进市场监管公平统一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2239"/>
        <w:spacing w:before="99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第一节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健全统一市场监管规则</w:t>
      </w:r>
    </w:p>
    <w:p>
      <w:pPr>
        <w:spacing w:line="239" w:lineRule="auto"/>
        <w:sectPr>
          <w:pgSz w:w="11906" w:h="16839"/>
          <w:pgMar w:top="1431" w:right="1617" w:bottom="0" w:left="1628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128" w:line="204" w:lineRule="auto"/>
        <w:outlineLvl w:val="2"/>
        <w:rPr/>
      </w:pPr>
      <w:r>
        <w:rPr>
          <w:rFonts w:ascii="SimHei" w:hAnsi="SimHei" w:eastAsia="SimHei" w:cs="SimHei"/>
          <w:spacing w:val="-2"/>
        </w:rPr>
        <w:t>第三十八条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有关部门、各地区要结合实际分领域出台行政处</w:t>
      </w:r>
    </w:p>
    <w:p>
      <w:pPr>
        <w:pStyle w:val="BodyText"/>
        <w:ind w:right="296" w:firstLine="15"/>
        <w:spacing w:before="161" w:line="272" w:lineRule="auto"/>
        <w:jc w:val="both"/>
        <w:rPr/>
      </w:pPr>
      <w:r>
        <w:rPr>
          <w:spacing w:val="-6"/>
        </w:rPr>
        <w:t>罚裁量权基准</w:t>
      </w:r>
      <w:r>
        <w:rPr>
          <w:spacing w:val="-25"/>
        </w:rPr>
        <w:t xml:space="preserve"> </w:t>
      </w:r>
      <w:r>
        <w:rPr>
          <w:spacing w:val="-6"/>
        </w:rPr>
        <w:t>，制定规范行政裁量权行使的监管规则</w:t>
      </w:r>
      <w:r>
        <w:rPr>
          <w:spacing w:val="-36"/>
        </w:rPr>
        <w:t xml:space="preserve"> </w:t>
      </w:r>
      <w:r>
        <w:rPr>
          <w:spacing w:val="-6"/>
        </w:rPr>
        <w:t>，细化量化具</w:t>
      </w:r>
      <w:r>
        <w:rPr/>
        <w:t xml:space="preserve"> </w:t>
      </w:r>
      <w:r>
        <w:rPr>
          <w:spacing w:val="-3"/>
        </w:rPr>
        <w:t>体操作规定</w:t>
      </w:r>
      <w:r>
        <w:rPr>
          <w:spacing w:val="-36"/>
        </w:rPr>
        <w:t xml:space="preserve"> </w:t>
      </w:r>
      <w:r>
        <w:rPr>
          <w:spacing w:val="-3"/>
        </w:rPr>
        <w:t>，清晰界定规范性文件中概括性用语</w:t>
      </w:r>
      <w:r>
        <w:rPr>
          <w:spacing w:val="-4"/>
        </w:rPr>
        <w:t>的具体情形，分门</w:t>
      </w:r>
      <w:r>
        <w:rPr/>
        <w:t xml:space="preserve"> </w:t>
      </w:r>
      <w:r>
        <w:rPr>
          <w:spacing w:val="-4"/>
        </w:rPr>
        <w:t>别类确立具体的量化标准</w:t>
      </w:r>
      <w:r>
        <w:rPr>
          <w:spacing w:val="-28"/>
        </w:rPr>
        <w:t xml:space="preserve"> </w:t>
      </w:r>
      <w:r>
        <w:rPr>
          <w:spacing w:val="-4"/>
        </w:rPr>
        <w:t>，规范执法尺度。</w:t>
      </w:r>
    </w:p>
    <w:p>
      <w:pPr>
        <w:pStyle w:val="BodyText"/>
        <w:ind w:left="601"/>
        <w:spacing w:before="3" w:line="204" w:lineRule="auto"/>
        <w:outlineLvl w:val="2"/>
        <w:rPr/>
      </w:pPr>
      <w:r>
        <w:rPr>
          <w:rFonts w:ascii="SimHei" w:hAnsi="SimHei" w:eastAsia="SimHei" w:cs="SimHei"/>
          <w:spacing w:val="9"/>
        </w:rPr>
        <w:t>第三十九条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有关部门要指导各地区结合实际制修订市场监</w:t>
      </w:r>
    </w:p>
    <w:p>
      <w:pPr>
        <w:pStyle w:val="BodyText"/>
        <w:ind w:left="9" w:right="296" w:firstLine="4"/>
        <w:spacing w:before="160" w:line="271" w:lineRule="auto"/>
        <w:rPr/>
      </w:pPr>
      <w:r>
        <w:rPr>
          <w:spacing w:val="-3"/>
        </w:rPr>
        <w:t>管领域不予、可以不予、减轻、从轻、从重处罚等处罚清单</w:t>
      </w:r>
      <w:r>
        <w:rPr>
          <w:spacing w:val="-4"/>
        </w:rPr>
        <w:t>，</w:t>
      </w:r>
      <w:r>
        <w:rPr>
          <w:spacing w:val="-55"/>
        </w:rPr>
        <w:t xml:space="preserve"> </w:t>
      </w:r>
      <w:r>
        <w:rPr>
          <w:spacing w:val="-4"/>
        </w:rPr>
        <w:t>明确</w:t>
      </w:r>
      <w:r>
        <w:rPr/>
        <w:t xml:space="preserve"> </w:t>
      </w:r>
      <w:r>
        <w:rPr>
          <w:spacing w:val="-2"/>
        </w:rPr>
        <w:t>细化适用有关情形的具体判定因素。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238"/>
        <w:spacing w:before="98" w:line="237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第二节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强化统一市场监管执法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spacing w:before="129" w:line="204" w:lineRule="auto"/>
        <w:outlineLvl w:val="2"/>
        <w:jc w:val="right"/>
        <w:rPr/>
      </w:pPr>
      <w:r>
        <w:rPr>
          <w:rFonts w:ascii="SimHei" w:hAnsi="SimHei" w:eastAsia="SimHei" w:cs="SimHei"/>
          <w:spacing w:val="2"/>
        </w:rPr>
        <w:t>第四十条</w:t>
      </w:r>
      <w:r>
        <w:rPr>
          <w:rFonts w:ascii="SimHei" w:hAnsi="SimHei" w:eastAsia="SimHei" w:cs="SimHei"/>
          <w:spacing w:val="2"/>
        </w:rPr>
        <w:t xml:space="preserve">  </w:t>
      </w:r>
      <w:r>
        <w:rPr>
          <w:spacing w:val="2"/>
        </w:rPr>
        <w:t>各地区要结合实际完善整合省域内“</w:t>
      </w:r>
      <w:r>
        <w:rPr>
          <w:spacing w:val="-63"/>
        </w:rPr>
        <w:t xml:space="preserve"> </w:t>
      </w:r>
      <w:r>
        <w:rPr>
          <w:spacing w:val="2"/>
        </w:rPr>
        <w:t>互联网</w:t>
      </w:r>
      <w:r>
        <w:rPr>
          <w:rFonts w:ascii="Times New Roman" w:hAnsi="Times New Roman" w:eastAsia="Times New Roman" w:cs="Times New Roman"/>
          <w:spacing w:val="2"/>
        </w:rPr>
        <w:t>+</w:t>
      </w:r>
      <w:r>
        <w:rPr>
          <w:spacing w:val="2"/>
        </w:rPr>
        <w:t>监管”</w:t>
      </w:r>
    </w:p>
    <w:p>
      <w:pPr>
        <w:pStyle w:val="BodyText"/>
        <w:ind w:left="16" w:right="296" w:firstLine="9"/>
        <w:spacing w:before="160" w:line="272" w:lineRule="auto"/>
        <w:jc w:val="both"/>
        <w:rPr/>
      </w:pPr>
      <w:r>
        <w:rPr>
          <w:spacing w:val="-4"/>
        </w:rPr>
        <w:t>系统、“双随机、一公开”检查系统等</w:t>
      </w:r>
      <w:r>
        <w:rPr>
          <w:spacing w:val="-36"/>
        </w:rPr>
        <w:t xml:space="preserve"> </w:t>
      </w:r>
      <w:r>
        <w:rPr>
          <w:spacing w:val="-4"/>
        </w:rPr>
        <w:t>，厘清市场监管</w:t>
      </w:r>
      <w:r>
        <w:rPr>
          <w:spacing w:val="-5"/>
        </w:rPr>
        <w:t>部门、行业</w:t>
      </w:r>
      <w:r>
        <w:rPr/>
        <w:t xml:space="preserve"> </w:t>
      </w:r>
      <w:r>
        <w:rPr>
          <w:spacing w:val="-2"/>
        </w:rPr>
        <w:t>主管部门、综合执法部门责任链条，进一步统一不同监管部门之间</w:t>
      </w:r>
      <w:r>
        <w:rPr/>
        <w:t xml:space="preserve"> </w:t>
      </w:r>
      <w:r>
        <w:rPr>
          <w:spacing w:val="-3"/>
        </w:rPr>
        <w:t>的数据采集标准、格式、字段等。</w:t>
      </w:r>
    </w:p>
    <w:p>
      <w:pPr>
        <w:pStyle w:val="BodyText"/>
        <w:ind w:left="601"/>
        <w:spacing w:before="5" w:line="204" w:lineRule="auto"/>
        <w:outlineLvl w:val="2"/>
        <w:rPr/>
      </w:pPr>
      <w:r>
        <w:rPr>
          <w:rFonts w:ascii="SimHei" w:hAnsi="SimHei" w:eastAsia="SimHei" w:cs="SimHei"/>
          <w:spacing w:val="-1"/>
        </w:rPr>
        <w:t>第四十一条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有条件的地区要强化执法检查全流程备案监督，</w:t>
      </w:r>
    </w:p>
    <w:p>
      <w:pPr>
        <w:pStyle w:val="BodyText"/>
        <w:ind w:left="31" w:right="296" w:hanging="29"/>
        <w:spacing w:before="160" w:line="271" w:lineRule="auto"/>
        <w:rPr/>
      </w:pPr>
      <w:r>
        <w:rPr>
          <w:spacing w:val="-3"/>
        </w:rPr>
        <w:t>建立推广入企扫码制度</w:t>
      </w:r>
      <w:r>
        <w:rPr>
          <w:spacing w:val="-36"/>
        </w:rPr>
        <w:t xml:space="preserve"> </w:t>
      </w:r>
      <w:r>
        <w:rPr>
          <w:spacing w:val="-3"/>
        </w:rPr>
        <w:t>，实时查询历次受检</w:t>
      </w:r>
      <w:r>
        <w:rPr>
          <w:spacing w:val="-4"/>
        </w:rPr>
        <w:t>及行政处罚等情况，及</w:t>
      </w:r>
      <w:r>
        <w:rPr/>
        <w:t xml:space="preserve"> </w:t>
      </w:r>
      <w:r>
        <w:rPr>
          <w:spacing w:val="-4"/>
        </w:rPr>
        <w:t>时发现纠正重复检查、重复处罚。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789"/>
        <w:spacing w:before="98" w:line="23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第三节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提升市场综合监管能力和水平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129" w:line="204" w:lineRule="auto"/>
        <w:outlineLvl w:val="2"/>
        <w:rPr/>
      </w:pPr>
      <w:r>
        <w:rPr>
          <w:rFonts w:ascii="SimHei" w:hAnsi="SimHei" w:eastAsia="SimHei" w:cs="SimHei"/>
          <w:spacing w:val="-1"/>
        </w:rPr>
        <w:t>第四十二条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各地区要制定省域内网络交易监管工作规则，加</w:t>
      </w:r>
    </w:p>
    <w:p>
      <w:pPr>
        <w:spacing w:line="204" w:lineRule="auto"/>
        <w:sectPr>
          <w:pgSz w:w="11906" w:h="16839"/>
          <w:pgMar w:top="1431" w:right="1320" w:bottom="0" w:left="1629" w:header="0" w:footer="0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4" w:right="118" w:firstLine="14"/>
        <w:spacing w:before="129" w:line="272" w:lineRule="auto"/>
        <w:jc w:val="both"/>
        <w:rPr/>
      </w:pPr>
      <w:r>
        <w:rPr>
          <w:spacing w:val="-2"/>
        </w:rPr>
        <w:t>强相关政府部门和互联网平台企业、网络安全技术企业</w:t>
      </w:r>
      <w:r>
        <w:rPr>
          <w:spacing w:val="-3"/>
        </w:rPr>
        <w:t>协作，打通</w:t>
      </w:r>
      <w:r>
        <w:rPr/>
        <w:t xml:space="preserve"> </w:t>
      </w:r>
      <w:r>
        <w:rPr>
          <w:spacing w:val="-5"/>
        </w:rPr>
        <w:t>网络监管互联互通渠道</w:t>
      </w:r>
      <w:r>
        <w:rPr>
          <w:spacing w:val="-36"/>
        </w:rPr>
        <w:t xml:space="preserve"> </w:t>
      </w:r>
      <w:r>
        <w:rPr>
          <w:spacing w:val="-5"/>
        </w:rPr>
        <w:t>，共享网络交易监测字</w:t>
      </w:r>
      <w:r>
        <w:rPr>
          <w:spacing w:val="-6"/>
        </w:rPr>
        <w:t>词库</w:t>
      </w:r>
      <w:r>
        <w:rPr>
          <w:spacing w:val="-36"/>
        </w:rPr>
        <w:t xml:space="preserve"> </w:t>
      </w:r>
      <w:r>
        <w:rPr>
          <w:spacing w:val="-6"/>
        </w:rPr>
        <w:t>，实现网络交易</w:t>
      </w:r>
      <w:r>
        <w:rPr/>
        <w:t xml:space="preserve"> </w:t>
      </w:r>
      <w:r>
        <w:rPr>
          <w:spacing w:val="-2"/>
        </w:rPr>
        <w:t>监测结果、案件线索共享互推和电子化移送。</w:t>
      </w:r>
    </w:p>
    <w:p>
      <w:pPr>
        <w:pStyle w:val="BodyText"/>
        <w:ind w:left="598"/>
        <w:spacing w:before="4" w:line="204" w:lineRule="auto"/>
        <w:outlineLvl w:val="2"/>
        <w:rPr/>
      </w:pPr>
      <w:r>
        <w:rPr>
          <w:rFonts w:ascii="SimHei" w:hAnsi="SimHei" w:eastAsia="SimHei" w:cs="SimHei"/>
          <w:spacing w:val="-2"/>
        </w:rPr>
        <w:t>第四十三条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鼓励各地区加强跨区域监管联动，推进跨区域的</w:t>
      </w:r>
    </w:p>
    <w:p>
      <w:pPr>
        <w:pStyle w:val="BodyText"/>
        <w:ind w:left="3" w:right="118" w:firstLine="10"/>
        <w:spacing w:before="163" w:line="272" w:lineRule="auto"/>
        <w:jc w:val="both"/>
        <w:rPr/>
      </w:pPr>
      <w:r>
        <w:rPr>
          <w:spacing w:val="-6"/>
        </w:rPr>
        <w:t>市场一体化监管</w:t>
      </w:r>
      <w:r>
        <w:rPr>
          <w:spacing w:val="-26"/>
        </w:rPr>
        <w:t xml:space="preserve"> </w:t>
      </w:r>
      <w:r>
        <w:rPr>
          <w:spacing w:val="-6"/>
        </w:rPr>
        <w:t>，统一市场管理和服务系统</w:t>
      </w:r>
      <w:r>
        <w:rPr>
          <w:spacing w:val="-36"/>
        </w:rPr>
        <w:t xml:space="preserve"> </w:t>
      </w:r>
      <w:r>
        <w:rPr>
          <w:spacing w:val="-6"/>
        </w:rPr>
        <w:t>，推动实现市场监管、</w:t>
      </w:r>
      <w:r>
        <w:rPr/>
        <w:t xml:space="preserve"> </w:t>
      </w:r>
      <w:r>
        <w:rPr>
          <w:spacing w:val="-2"/>
        </w:rPr>
        <w:t>人力资源社会保障、税务、公安等部门信息共享、资质互认、执法</w:t>
      </w:r>
      <w:r>
        <w:rPr>
          <w:spacing w:val="10"/>
        </w:rPr>
        <w:t xml:space="preserve"> </w:t>
      </w:r>
      <w:r>
        <w:rPr>
          <w:spacing w:val="-7"/>
        </w:rPr>
        <w:t>互助。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1026"/>
        <w:spacing w:before="129" w:line="185" w:lineRule="auto"/>
        <w:outlineLvl w:val="0"/>
        <w:rPr/>
      </w:pPr>
      <w:r>
        <w:rPr>
          <w:spacing w:val="1"/>
        </w:rPr>
        <w:t>第七章   进一步规范不当市场竞争和市场干预行为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2086"/>
        <w:spacing w:before="97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第一节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加力破除地方保护和市场分割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598"/>
        <w:spacing w:before="130" w:line="204" w:lineRule="auto"/>
        <w:outlineLvl w:val="1"/>
        <w:rPr/>
      </w:pPr>
      <w:r>
        <w:rPr>
          <w:rFonts w:ascii="SimHei" w:hAnsi="SimHei" w:eastAsia="SimHei" w:cs="SimHei"/>
          <w:spacing w:val="-1"/>
        </w:rPr>
        <w:t>第四十四条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各地区不得限制商品和要素跨区域自由流动，不</w:t>
      </w:r>
    </w:p>
    <w:p>
      <w:pPr>
        <w:pStyle w:val="BodyText"/>
        <w:ind w:left="4" w:right="118" w:hanging="2"/>
        <w:spacing w:before="161" w:line="272" w:lineRule="auto"/>
        <w:jc w:val="both"/>
        <w:rPr/>
      </w:pPr>
      <w:r>
        <w:rPr>
          <w:spacing w:val="-2"/>
        </w:rPr>
        <w:t>得设置不合理条件排斥、限制或者禁止本地经营主体向外地提供商</w:t>
      </w:r>
      <w:r>
        <w:rPr>
          <w:spacing w:val="11"/>
        </w:rPr>
        <w:t xml:space="preserve"> </w:t>
      </w:r>
      <w:r>
        <w:rPr>
          <w:spacing w:val="-4"/>
        </w:rPr>
        <w:t>品和服务</w:t>
      </w:r>
      <w:r>
        <w:rPr>
          <w:spacing w:val="-22"/>
        </w:rPr>
        <w:t xml:space="preserve"> </w:t>
      </w:r>
      <w:r>
        <w:rPr>
          <w:spacing w:val="-4"/>
        </w:rPr>
        <w:t>，不得以定向补贴、地方推荐目录等形式强化对本地产品</w:t>
      </w:r>
      <w:r>
        <w:rPr/>
        <w:t xml:space="preserve"> </w:t>
      </w:r>
      <w:r>
        <w:rPr>
          <w:spacing w:val="-1"/>
        </w:rPr>
        <w:t>或特定产品保护以及变相限制外地产品进入本地市场。</w:t>
      </w:r>
    </w:p>
    <w:p>
      <w:pPr>
        <w:pStyle w:val="BodyText"/>
        <w:ind w:left="598"/>
        <w:spacing w:before="2" w:line="205" w:lineRule="auto"/>
        <w:rPr/>
      </w:pPr>
      <w:r>
        <w:rPr>
          <w:rFonts w:ascii="SimHei" w:hAnsi="SimHei" w:eastAsia="SimHei" w:cs="SimHei"/>
          <w:spacing w:val="-2"/>
        </w:rPr>
        <w:t>第四十五条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各地区不得妨碍经营主体依法平等准入、退出和</w:t>
      </w:r>
    </w:p>
    <w:p>
      <w:pPr>
        <w:pStyle w:val="BodyText"/>
        <w:spacing w:before="161" w:line="198" w:lineRule="auto"/>
        <w:outlineLvl w:val="1"/>
        <w:jc w:val="right"/>
        <w:rPr/>
      </w:pPr>
      <w:r>
        <w:rPr>
          <w:spacing w:val="-8"/>
        </w:rPr>
        <w:t>迁移，不得要求经营主体必须在某地登记注册，不得以备案、注册、</w:t>
      </w:r>
    </w:p>
    <w:p>
      <w:pPr>
        <w:pStyle w:val="BodyText"/>
        <w:ind w:left="3" w:right="118" w:hanging="3"/>
        <w:spacing w:before="161" w:line="272" w:lineRule="auto"/>
        <w:jc w:val="both"/>
        <w:rPr/>
      </w:pPr>
      <w:r>
        <w:rPr>
          <w:spacing w:val="-3"/>
        </w:rPr>
        <w:t>年检、认定、认证、指定等形式设定或者变</w:t>
      </w:r>
      <w:r>
        <w:rPr>
          <w:spacing w:val="-4"/>
        </w:rPr>
        <w:t>相设定准入障碍</w:t>
      </w:r>
      <w:r>
        <w:rPr>
          <w:spacing w:val="-36"/>
        </w:rPr>
        <w:t xml:space="preserve"> </w:t>
      </w:r>
      <w:r>
        <w:rPr>
          <w:spacing w:val="-4"/>
        </w:rPr>
        <w:t>，或者</w:t>
      </w:r>
      <w:r>
        <w:rPr/>
        <w:t xml:space="preserve"> </w:t>
      </w:r>
      <w:r>
        <w:rPr>
          <w:spacing w:val="-2"/>
        </w:rPr>
        <w:t>通过增设审批条件、暂停办理流程、故意拖延办理、违规开展检查</w:t>
      </w:r>
      <w:r>
        <w:rPr>
          <w:spacing w:val="10"/>
        </w:rPr>
        <w:t xml:space="preserve"> </w:t>
      </w:r>
      <w:r>
        <w:rPr>
          <w:spacing w:val="-2"/>
        </w:rPr>
        <w:t>等为经营主体跨区域经营或迁移设置障碍。</w:t>
      </w:r>
    </w:p>
    <w:p>
      <w:pPr>
        <w:pStyle w:val="BodyText"/>
        <w:ind w:left="598"/>
        <w:spacing w:before="3" w:line="205" w:lineRule="auto"/>
        <w:outlineLvl w:val="1"/>
        <w:rPr/>
      </w:pPr>
      <w:r>
        <w:rPr>
          <w:rFonts w:ascii="SimHei" w:hAnsi="SimHei" w:eastAsia="SimHei" w:cs="SimHei"/>
          <w:spacing w:val="-1"/>
        </w:rPr>
        <w:t>第四十六条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各地区不得强制要求经营主体在本地登记注册、</w:t>
      </w:r>
    </w:p>
    <w:p>
      <w:pPr>
        <w:spacing w:line="205" w:lineRule="auto"/>
        <w:sectPr>
          <w:pgSz w:w="11906" w:h="16839"/>
          <w:pgMar w:top="1431" w:right="1499" w:bottom="0" w:left="1631" w:header="0" w:footer="0" w:gutter="0"/>
        </w:sectPr>
        <w:rPr/>
      </w:pP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firstLine="3"/>
        <w:spacing w:before="129" w:line="273" w:lineRule="auto"/>
        <w:jc w:val="both"/>
        <w:rPr/>
      </w:pPr>
      <w:r>
        <w:rPr>
          <w:spacing w:val="-3"/>
        </w:rPr>
        <w:t>设立子公司、分公司、分支机构等</w:t>
      </w:r>
      <w:r>
        <w:rPr>
          <w:spacing w:val="-36"/>
        </w:rPr>
        <w:t xml:space="preserve"> </w:t>
      </w:r>
      <w:r>
        <w:rPr>
          <w:spacing w:val="-3"/>
        </w:rPr>
        <w:t>，或者以</w:t>
      </w:r>
      <w:r>
        <w:rPr>
          <w:spacing w:val="-4"/>
        </w:rPr>
        <w:t>在本地设立法人机构、</w:t>
      </w:r>
      <w:r>
        <w:rPr/>
        <w:t xml:space="preserve"> </w:t>
      </w:r>
      <w:r>
        <w:rPr>
          <w:spacing w:val="-2"/>
        </w:rPr>
        <w:t>进行产业配套、投资额纳入统计等作为申请相关扶持政策、开展相</w:t>
      </w:r>
      <w:r>
        <w:rPr>
          <w:spacing w:val="17"/>
        </w:rPr>
        <w:t xml:space="preserve"> </w:t>
      </w:r>
      <w:r>
        <w:rPr>
          <w:spacing w:val="-3"/>
        </w:rPr>
        <w:t>关业务、享受相关补贴的前提条件</w:t>
      </w:r>
      <w:r>
        <w:rPr>
          <w:spacing w:val="-36"/>
        </w:rPr>
        <w:t xml:space="preserve"> </w:t>
      </w:r>
      <w:r>
        <w:rPr>
          <w:spacing w:val="-3"/>
        </w:rPr>
        <w:t>，不得在土地出</w:t>
      </w:r>
      <w:r>
        <w:rPr>
          <w:spacing w:val="-4"/>
        </w:rPr>
        <w:t>让时违规设置竞</w:t>
      </w:r>
      <w:r>
        <w:rPr/>
        <w:t xml:space="preserve"> </w:t>
      </w:r>
      <w:r>
        <w:rPr>
          <w:spacing w:val="-2"/>
        </w:rPr>
        <w:t>买条件搞定向出让。</w:t>
      </w:r>
    </w:p>
    <w:p>
      <w:pPr>
        <w:pStyle w:val="BodyText"/>
        <w:spacing w:before="1" w:line="205" w:lineRule="auto"/>
        <w:outlineLvl w:val="1"/>
        <w:jc w:val="right"/>
        <w:rPr/>
      </w:pPr>
      <w:r>
        <w:rPr>
          <w:rFonts w:ascii="SimHei" w:hAnsi="SimHei" w:eastAsia="SimHei" w:cs="SimHei"/>
          <w:spacing w:val="-2"/>
        </w:rPr>
        <w:t>第四十七条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各地区、各部门不得在招标投标和政府采购中违</w:t>
      </w:r>
    </w:p>
    <w:p>
      <w:pPr>
        <w:pStyle w:val="BodyText"/>
        <w:ind w:left="2" w:firstLine="16"/>
        <w:spacing w:before="160" w:line="273" w:lineRule="auto"/>
        <w:jc w:val="both"/>
        <w:rPr/>
      </w:pPr>
      <w:r>
        <w:rPr>
          <w:spacing w:val="-2"/>
        </w:rPr>
        <w:t>法限定或者指定特定的专利、商标、品牌、零部件、原产地、供应</w:t>
      </w:r>
      <w:r>
        <w:rPr/>
        <w:t xml:space="preserve"> </w:t>
      </w:r>
      <w:r>
        <w:rPr>
          <w:spacing w:val="7"/>
        </w:rPr>
        <w:t>商</w:t>
      </w:r>
      <w:r>
        <w:rPr>
          <w:spacing w:val="-26"/>
        </w:rPr>
        <w:t xml:space="preserve"> </w:t>
      </w:r>
      <w:r>
        <w:rPr>
          <w:spacing w:val="7"/>
        </w:rPr>
        <w:t>，违法设定与招标采购项目具体特点和实际需要不相匹配</w:t>
      </w:r>
      <w:r>
        <w:rPr>
          <w:spacing w:val="6"/>
        </w:rPr>
        <w:t>的资</w:t>
      </w:r>
      <w:r>
        <w:rPr/>
        <w:t xml:space="preserve"> </w:t>
      </w:r>
      <w:r>
        <w:rPr>
          <w:spacing w:val="-3"/>
        </w:rPr>
        <w:t>格、技术、商务条件</w:t>
      </w:r>
      <w:r>
        <w:rPr>
          <w:spacing w:val="-36"/>
        </w:rPr>
        <w:t xml:space="preserve"> </w:t>
      </w:r>
      <w:r>
        <w:rPr>
          <w:spacing w:val="-3"/>
        </w:rPr>
        <w:t>，违法限定投标人所在地</w:t>
      </w:r>
      <w:r>
        <w:rPr>
          <w:spacing w:val="-4"/>
        </w:rPr>
        <w:t>、组织形式、所有制</w:t>
      </w:r>
      <w:r>
        <w:rPr/>
        <w:t xml:space="preserve"> </w:t>
      </w:r>
      <w:r>
        <w:rPr>
          <w:spacing w:val="-4"/>
        </w:rPr>
        <w:t>形式</w:t>
      </w:r>
      <w:r>
        <w:rPr>
          <w:spacing w:val="-36"/>
        </w:rPr>
        <w:t xml:space="preserve"> </w:t>
      </w:r>
      <w:r>
        <w:rPr>
          <w:spacing w:val="-3"/>
        </w:rPr>
        <w:t>，或者设定其他不合理的条件以排斥、限</w:t>
      </w:r>
      <w:r>
        <w:rPr>
          <w:spacing w:val="-4"/>
        </w:rPr>
        <w:t>制经营者参与投标</w:t>
      </w:r>
      <w:r>
        <w:rPr>
          <w:spacing w:val="-2"/>
        </w:rPr>
        <w:t>采</w:t>
      </w:r>
      <w:r>
        <w:rPr/>
        <w:t xml:space="preserve"> </w:t>
      </w:r>
      <w:r>
        <w:rPr>
          <w:spacing w:val="-4"/>
        </w:rPr>
        <w:t>购活动。</w:t>
      </w:r>
    </w:p>
    <w:p>
      <w:pPr>
        <w:pStyle w:val="BodyText"/>
        <w:spacing w:line="204" w:lineRule="auto"/>
        <w:outlineLvl w:val="1"/>
        <w:jc w:val="right"/>
        <w:rPr/>
      </w:pPr>
      <w:r>
        <w:rPr>
          <w:rFonts w:ascii="SimHei" w:hAnsi="SimHei" w:eastAsia="SimHei" w:cs="SimHei"/>
          <w:spacing w:val="9"/>
        </w:rPr>
        <w:t>第四十八条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各地区不得突破国家规定的红线底线违规实施</w:t>
      </w:r>
    </w:p>
    <w:p>
      <w:pPr>
        <w:pStyle w:val="BodyText"/>
        <w:spacing w:before="162" w:line="199" w:lineRule="auto"/>
        <w:jc w:val="right"/>
        <w:rPr/>
      </w:pPr>
      <w:r>
        <w:rPr>
          <w:spacing w:val="-2"/>
        </w:rPr>
        <w:t>财政、税费、价格、土地、资源环境等方面的招商引资优惠政</w:t>
      </w:r>
      <w:r>
        <w:rPr>
          <w:spacing w:val="-3"/>
        </w:rPr>
        <w:t>策。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839"/>
        <w:spacing w:before="97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第二节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加强问题发现整改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spacing w:before="129" w:line="204" w:lineRule="auto"/>
        <w:outlineLvl w:val="1"/>
        <w:jc w:val="right"/>
        <w:rPr/>
      </w:pPr>
      <w:r>
        <w:rPr>
          <w:rFonts w:ascii="SimHei" w:hAnsi="SimHei" w:eastAsia="SimHei" w:cs="SimHei"/>
          <w:spacing w:val="9"/>
        </w:rPr>
        <w:t>第四十九条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有关部门要动态发布不当干预全国统一大市场</w:t>
      </w:r>
    </w:p>
    <w:p>
      <w:pPr>
        <w:pStyle w:val="BodyText"/>
        <w:ind w:left="36" w:hanging="33"/>
        <w:spacing w:before="161" w:line="271" w:lineRule="auto"/>
        <w:rPr/>
      </w:pPr>
      <w:r>
        <w:rPr>
          <w:spacing w:val="-2"/>
        </w:rPr>
        <w:t>建设行为防范事项清单，结合实际情况列明并适时更新不当干预全</w:t>
      </w:r>
      <w:r>
        <w:rPr>
          <w:spacing w:val="14"/>
        </w:rPr>
        <w:t xml:space="preserve"> </w:t>
      </w:r>
      <w:r>
        <w:rPr>
          <w:spacing w:val="-3"/>
        </w:rPr>
        <w:t>国统一大市场建设行为的突出表现形式。</w:t>
      </w:r>
    </w:p>
    <w:p>
      <w:pPr>
        <w:pStyle w:val="BodyText"/>
        <w:spacing w:before="2" w:line="205" w:lineRule="auto"/>
        <w:outlineLvl w:val="1"/>
        <w:jc w:val="right"/>
        <w:rPr/>
      </w:pPr>
      <w:r>
        <w:rPr>
          <w:rFonts w:ascii="SimHei" w:hAnsi="SimHei" w:eastAsia="SimHei" w:cs="SimHei"/>
          <w:spacing w:val="9"/>
        </w:rPr>
        <w:t>第五十条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有关部门要畅通妨碍统一大市场建设问题线索举</w:t>
      </w:r>
    </w:p>
    <w:p>
      <w:pPr>
        <w:pStyle w:val="BodyText"/>
        <w:ind w:left="10" w:hanging="2"/>
        <w:spacing w:before="161" w:line="272" w:lineRule="auto"/>
        <w:jc w:val="both"/>
        <w:rPr/>
      </w:pPr>
      <w:r>
        <w:rPr>
          <w:spacing w:val="-2"/>
        </w:rPr>
        <w:t>报受理渠道，适时组织开展重点领域突出问题专项整治，会同各地</w:t>
      </w:r>
      <w:r>
        <w:rPr>
          <w:spacing w:val="9"/>
        </w:rPr>
        <w:t xml:space="preserve"> </w:t>
      </w:r>
      <w:r>
        <w:rPr>
          <w:spacing w:val="-2"/>
        </w:rPr>
        <w:t>区开展典型案例约谈通报和常态化问题整改，对于未按规定时限完</w:t>
      </w:r>
      <w:r>
        <w:rPr>
          <w:spacing w:val="7"/>
        </w:rPr>
        <w:t xml:space="preserve"> </w:t>
      </w:r>
      <w:r>
        <w:rPr>
          <w:spacing w:val="-4"/>
        </w:rPr>
        <w:t>成问题线索归集、核实、整改工作</w:t>
      </w:r>
      <w:r>
        <w:rPr>
          <w:spacing w:val="-26"/>
        </w:rPr>
        <w:t xml:space="preserve"> </w:t>
      </w:r>
      <w:r>
        <w:rPr>
          <w:spacing w:val="-4"/>
        </w:rPr>
        <w:t>，或者拒不整改、整改不到位、</w:t>
      </w:r>
    </w:p>
    <w:p>
      <w:pPr>
        <w:spacing w:line="272" w:lineRule="auto"/>
        <w:sectPr>
          <w:pgSz w:w="11906" w:h="16839"/>
          <w:pgMar w:top="1431" w:right="1617" w:bottom="0" w:left="1628" w:header="0" w:footer="0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2" w:firstLine="17"/>
        <w:spacing w:before="129" w:line="271" w:lineRule="auto"/>
        <w:rPr/>
      </w:pPr>
      <w:r>
        <w:rPr>
          <w:spacing w:val="-4"/>
        </w:rPr>
        <w:t>瞒报谎报整改情况等情形</w:t>
      </w:r>
      <w:r>
        <w:rPr>
          <w:spacing w:val="-35"/>
        </w:rPr>
        <w:t xml:space="preserve"> </w:t>
      </w:r>
      <w:r>
        <w:rPr>
          <w:spacing w:val="-4"/>
        </w:rPr>
        <w:t>，约谈有关负责人，对典型负面案例在一</w:t>
      </w:r>
      <w:r>
        <w:rPr/>
        <w:t xml:space="preserve"> </w:t>
      </w:r>
      <w:r>
        <w:rPr>
          <w:spacing w:val="-2"/>
        </w:rPr>
        <w:t>定范围内进行通报。</w:t>
      </w:r>
    </w:p>
    <w:p>
      <w:pPr>
        <w:pStyle w:val="BodyText"/>
        <w:spacing w:before="1" w:line="204" w:lineRule="auto"/>
        <w:outlineLvl w:val="1"/>
        <w:jc w:val="right"/>
        <w:rPr/>
      </w:pPr>
      <w:r>
        <w:rPr>
          <w:rFonts w:ascii="SimHei" w:hAnsi="SimHei" w:eastAsia="SimHei" w:cs="SimHei"/>
          <w:spacing w:val="9"/>
        </w:rPr>
        <w:t>第五十一条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各地区要做好对妨碍统一大市场建设问题的受</w:t>
      </w:r>
    </w:p>
    <w:p>
      <w:pPr>
        <w:pStyle w:val="BodyText"/>
        <w:ind w:firstLine="2"/>
        <w:spacing w:before="161" w:line="271" w:lineRule="auto"/>
        <w:rPr/>
      </w:pPr>
      <w:r>
        <w:rPr>
          <w:spacing w:val="-2"/>
        </w:rPr>
        <w:t>理核实整改，加大对经营主体反映地方保护问题线索的收集排查力</w:t>
      </w:r>
      <w:r>
        <w:rPr>
          <w:spacing w:val="14"/>
        </w:rPr>
        <w:t xml:space="preserve"> </w:t>
      </w:r>
      <w:r>
        <w:rPr>
          <w:spacing w:val="-3"/>
        </w:rPr>
        <w:t>度，</w:t>
      </w:r>
      <w:r>
        <w:rPr>
          <w:spacing w:val="-56"/>
        </w:rPr>
        <w:t xml:space="preserve"> </w:t>
      </w:r>
      <w:r>
        <w:rPr>
          <w:spacing w:val="-3"/>
        </w:rPr>
        <w:t>主动向有关部门报送整改案例。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3128"/>
        <w:spacing w:before="129" w:line="208" w:lineRule="auto"/>
        <w:outlineLvl w:val="0"/>
        <w:rPr/>
      </w:pPr>
      <w:r>
        <w:rPr>
          <w:spacing w:val="-2"/>
        </w:rPr>
        <w:t>第八章</w:t>
      </w:r>
      <w:r>
        <w:rPr>
          <w:spacing w:val="13"/>
        </w:rPr>
        <w:t xml:space="preserve">   </w:t>
      </w:r>
      <w:r>
        <w:rPr>
          <w:spacing w:val="-2"/>
        </w:rPr>
        <w:t>实施保障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spacing w:before="129" w:line="204" w:lineRule="auto"/>
        <w:outlineLvl w:val="1"/>
        <w:jc w:val="right"/>
        <w:rPr/>
      </w:pPr>
      <w:r>
        <w:rPr>
          <w:rFonts w:ascii="SimHei" w:hAnsi="SimHei" w:eastAsia="SimHei" w:cs="SimHei"/>
          <w:spacing w:val="-5"/>
        </w:rPr>
        <w:t>第五</w:t>
      </w:r>
      <w:r>
        <w:rPr>
          <w:rFonts w:ascii="SimHei" w:hAnsi="SimHei" w:eastAsia="SimHei" w:cs="SimHei"/>
          <w:spacing w:val="-4"/>
        </w:rPr>
        <w:t>十二条</w:t>
      </w:r>
      <w:r>
        <w:rPr>
          <w:rFonts w:ascii="SimHei" w:hAnsi="SimHei" w:eastAsia="SimHei" w:cs="SimHei"/>
          <w:spacing w:val="-4"/>
        </w:rPr>
        <w:t xml:space="preserve">  </w:t>
      </w:r>
      <w:r>
        <w:rPr>
          <w:spacing w:val="-4"/>
        </w:rPr>
        <w:t>有关部门要按照职责分工</w:t>
      </w:r>
      <w:r>
        <w:rPr>
          <w:spacing w:val="-20"/>
        </w:rPr>
        <w:t xml:space="preserve"> </w:t>
      </w:r>
      <w:r>
        <w:rPr>
          <w:spacing w:val="-4"/>
        </w:rPr>
        <w:t>，积极主动作为，形</w:t>
      </w:r>
      <w:r>
        <w:rPr>
          <w:spacing w:val="-2"/>
        </w:rPr>
        <w:t>成</w:t>
      </w:r>
    </w:p>
    <w:p>
      <w:pPr>
        <w:pStyle w:val="BodyText"/>
        <w:ind w:left="10"/>
        <w:spacing w:before="162" w:line="198" w:lineRule="auto"/>
        <w:rPr/>
      </w:pPr>
      <w:r>
        <w:rPr>
          <w:spacing w:val="-5"/>
        </w:rPr>
        <w:t>工作合力，</w:t>
      </w:r>
      <w:r>
        <w:rPr>
          <w:spacing w:val="-43"/>
        </w:rPr>
        <w:t xml:space="preserve"> </w:t>
      </w:r>
      <w:r>
        <w:rPr>
          <w:spacing w:val="-5"/>
        </w:rPr>
        <w:t>强化对地方的指导</w:t>
      </w:r>
      <w:r>
        <w:rPr>
          <w:spacing w:val="-36"/>
        </w:rPr>
        <w:t xml:space="preserve"> </w:t>
      </w:r>
      <w:r>
        <w:rPr>
          <w:spacing w:val="-5"/>
        </w:rPr>
        <w:t>，确保各项任务落到实处。</w:t>
      </w:r>
    </w:p>
    <w:p>
      <w:pPr>
        <w:pStyle w:val="BodyText"/>
        <w:spacing w:before="152" w:line="204" w:lineRule="auto"/>
        <w:outlineLvl w:val="1"/>
        <w:jc w:val="right"/>
        <w:rPr/>
      </w:pPr>
      <w:r>
        <w:rPr>
          <w:rFonts w:ascii="SimHei" w:hAnsi="SimHei" w:eastAsia="SimHei" w:cs="SimHei"/>
          <w:spacing w:val="9"/>
        </w:rPr>
        <w:t>第五十三条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各地区要进一步优化本地区政府绩效考核相关</w:t>
      </w:r>
    </w:p>
    <w:p>
      <w:pPr>
        <w:pStyle w:val="BodyText"/>
        <w:ind w:firstLine="2"/>
        <w:spacing w:before="159" w:line="273" w:lineRule="auto"/>
        <w:jc w:val="both"/>
        <w:rPr/>
      </w:pPr>
      <w:r>
        <w:rPr>
          <w:spacing w:val="-2"/>
        </w:rPr>
        <w:t>评价指标，更好反映省域内不同地区推动全国统一大市场建设的成</w:t>
      </w:r>
      <w:r>
        <w:rPr>
          <w:spacing w:val="14"/>
        </w:rPr>
        <w:t xml:space="preserve"> </w:t>
      </w:r>
      <w:r>
        <w:rPr>
          <w:spacing w:val="-2"/>
        </w:rPr>
        <w:t>效。鼓励有条件的地区开展区域市场一体化建设，推动加强重点领</w:t>
      </w:r>
      <w:r>
        <w:rPr>
          <w:spacing w:val="16"/>
        </w:rPr>
        <w:t xml:space="preserve"> </w:t>
      </w:r>
      <w:r>
        <w:rPr>
          <w:spacing w:val="-2"/>
        </w:rPr>
        <w:t>域制度规则和重大政策沟通协调，加大区域合作成本共担和利益共</w:t>
      </w:r>
      <w:r>
        <w:rPr>
          <w:spacing w:val="16"/>
        </w:rPr>
        <w:t xml:space="preserve"> </w:t>
      </w:r>
      <w:r>
        <w:rPr>
          <w:spacing w:val="-3"/>
        </w:rPr>
        <w:t>享探索力度。</w:t>
      </w:r>
    </w:p>
    <w:p>
      <w:pPr>
        <w:pStyle w:val="BodyText"/>
        <w:spacing w:before="2" w:line="204" w:lineRule="auto"/>
        <w:outlineLvl w:val="1"/>
        <w:jc w:val="right"/>
        <w:rPr/>
      </w:pPr>
      <w:r>
        <w:rPr>
          <w:rFonts w:ascii="SimHei" w:hAnsi="SimHei" w:eastAsia="SimHei" w:cs="SimHei"/>
          <w:spacing w:val="-8"/>
        </w:rPr>
        <w:t>第五十四条</w:t>
      </w:r>
      <w:r>
        <w:rPr>
          <w:rFonts w:ascii="SimHei" w:hAnsi="SimHei" w:eastAsia="SimHei" w:cs="SimHei"/>
          <w:spacing w:val="-8"/>
        </w:rPr>
        <w:t xml:space="preserve">  </w:t>
      </w:r>
      <w:r>
        <w:rPr>
          <w:spacing w:val="-8"/>
        </w:rPr>
        <w:t>本指引由国家发展改革委负责解释，</w:t>
      </w:r>
      <w:r>
        <w:rPr>
          <w:spacing w:val="-38"/>
        </w:rPr>
        <w:t xml:space="preserve"> </w:t>
      </w:r>
      <w:r>
        <w:rPr>
          <w:spacing w:val="-8"/>
        </w:rPr>
        <w:t>自</w:t>
      </w:r>
      <w:r>
        <w:rPr>
          <w:spacing w:val="-39"/>
        </w:rPr>
        <w:t xml:space="preserve"> </w:t>
      </w:r>
      <w:r>
        <w:rPr>
          <w:spacing w:val="-8"/>
        </w:rPr>
        <w:t>印发之 日</w:t>
      </w:r>
    </w:p>
    <w:p>
      <w:pPr>
        <w:pStyle w:val="BodyText"/>
        <w:ind w:left="1"/>
        <w:spacing w:before="161" w:line="199" w:lineRule="auto"/>
        <w:rPr/>
      </w:pPr>
      <w:r>
        <w:rPr>
          <w:spacing w:val="-4"/>
        </w:rPr>
        <w:t>起实施。</w:t>
      </w:r>
    </w:p>
    <w:sectPr>
      <w:pgSz w:w="11906" w:h="16839"/>
      <w:pgMar w:top="1431" w:right="1617" w:bottom="0" w:left="16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2025-01-07T08:40:31Z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2025-01-20T15:50:49</vt:filetime>
  </property>
</Properties>
</file>