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"/>
        <w:spacing w:before="48" w:line="219" w:lineRule="auto"/>
        <w:rPr/>
      </w:pPr>
      <w:r>
        <w:rPr>
          <w:spacing w:val="-8"/>
        </w:rPr>
        <w:t>附件1：</w:t>
      </w:r>
    </w:p>
    <w:p>
      <w:pPr>
        <w:pStyle w:val="BodyText"/>
        <w:ind w:left="3223"/>
        <w:spacing w:before="277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建设工程造价指标编制说明</w:t>
      </w:r>
    </w:p>
    <w:p>
      <w:pPr>
        <w:pStyle w:val="BodyText"/>
        <w:ind w:left="491"/>
        <w:spacing w:before="284" w:line="219" w:lineRule="auto"/>
        <w:outlineLvl w:val="1"/>
        <w:rPr/>
      </w:pPr>
      <w:r>
        <w:rPr>
          <w:b/>
          <w:bCs/>
          <w:spacing w:val="-2"/>
        </w:rPr>
        <w:t>一、造价指标编制依据：</w:t>
      </w:r>
    </w:p>
    <w:p>
      <w:pPr>
        <w:pStyle w:val="BodyText"/>
        <w:ind w:left="4" w:firstLine="493"/>
        <w:spacing w:before="192" w:line="294" w:lineRule="auto"/>
        <w:rPr/>
      </w:pPr>
      <w:r>
        <w:rPr/>
        <w:t>1、本造价指标编制依据《河南省房屋建筑</w:t>
      </w:r>
      <w:r>
        <w:rPr>
          <w:spacing w:val="-1"/>
        </w:rPr>
        <w:t>与装饰工程预算定额》（HA 01-31-2016）及《河南</w:t>
      </w:r>
      <w:r>
        <w:rPr/>
        <w:t xml:space="preserve"> </w:t>
      </w:r>
      <w:r>
        <w:rPr>
          <w:spacing w:val="-1"/>
        </w:rPr>
        <w:t>省通用安装工程预算定额》（HA 02-31-2016）的相关规定。</w:t>
      </w:r>
    </w:p>
    <w:p>
      <w:pPr>
        <w:pStyle w:val="BodyText"/>
        <w:ind w:firstLine="483"/>
        <w:spacing w:before="200" w:line="295" w:lineRule="auto"/>
        <w:rPr/>
      </w:pPr>
      <w:r>
        <w:rPr/>
        <w:t>2、郑州市房屋征收与城市更新中心发布的 《郑州市建设工程</w:t>
      </w:r>
      <w:r>
        <w:rPr>
          <w:spacing w:val="-1"/>
        </w:rPr>
        <w:t>材料基准价格信息》及相应的市</w:t>
      </w:r>
      <w:r>
        <w:rPr/>
        <w:t xml:space="preserve"> </w:t>
      </w:r>
      <w:r>
        <w:rPr>
          <w:spacing w:val="-3"/>
        </w:rPr>
        <w:t>场价格。</w:t>
      </w:r>
    </w:p>
    <w:p>
      <w:pPr>
        <w:pStyle w:val="BodyText"/>
        <w:ind w:left="485"/>
        <w:spacing w:before="193" w:line="219" w:lineRule="auto"/>
        <w:rPr/>
      </w:pPr>
      <w:r>
        <w:rPr>
          <w:spacing w:val="-1"/>
        </w:rPr>
        <w:t>3、郑州市建设工程造价管理方面的相关规定。</w:t>
      </w:r>
    </w:p>
    <w:p>
      <w:pPr>
        <w:pStyle w:val="BodyText"/>
        <w:ind w:left="480"/>
        <w:spacing w:before="194" w:line="221" w:lineRule="auto"/>
        <w:rPr/>
      </w:pPr>
      <w:r>
        <w:rPr>
          <w:spacing w:val="-1"/>
        </w:rPr>
        <w:t>4、现行的建设工程规范及标准。</w:t>
      </w:r>
    </w:p>
    <w:p>
      <w:pPr>
        <w:pStyle w:val="BodyText"/>
        <w:ind w:left="485"/>
        <w:spacing w:before="190" w:line="219" w:lineRule="auto"/>
        <w:rPr/>
      </w:pPr>
      <w:r>
        <w:rPr>
          <w:spacing w:val="-1"/>
        </w:rPr>
        <w:t>5、近年来郑州市建设工程施工图预算资料。</w:t>
      </w:r>
    </w:p>
    <w:p>
      <w:pPr>
        <w:pStyle w:val="BodyText"/>
        <w:ind w:left="491"/>
        <w:spacing w:before="193" w:line="219" w:lineRule="auto"/>
        <w:outlineLvl w:val="1"/>
        <w:rPr/>
      </w:pPr>
      <w:r>
        <w:rPr>
          <w:b/>
          <w:bCs/>
          <w:spacing w:val="-3"/>
        </w:rPr>
        <w:t>二、造价指标的组成：</w:t>
      </w:r>
    </w:p>
    <w:p>
      <w:pPr>
        <w:pStyle w:val="BodyText"/>
        <w:ind w:left="498"/>
        <w:spacing w:before="192" w:line="220" w:lineRule="auto"/>
        <w:rPr/>
      </w:pPr>
      <w:r>
        <w:rPr>
          <w:spacing w:val="-2"/>
        </w:rPr>
        <w:t>1、人工费：定额人工费、人工费调整。</w:t>
      </w:r>
    </w:p>
    <w:p>
      <w:pPr>
        <w:pStyle w:val="BodyText"/>
        <w:ind w:left="483"/>
        <w:spacing w:before="192" w:line="219" w:lineRule="auto"/>
        <w:rPr/>
      </w:pPr>
      <w:r>
        <w:rPr>
          <w:spacing w:val="-1"/>
        </w:rPr>
        <w:t>2、材料费：定额材料费、材料费调整、未计价材费。</w:t>
      </w:r>
    </w:p>
    <w:p>
      <w:pPr>
        <w:pStyle w:val="BodyText"/>
        <w:ind w:left="485"/>
        <w:spacing w:before="194" w:line="219" w:lineRule="auto"/>
        <w:rPr/>
      </w:pPr>
      <w:r>
        <w:rPr>
          <w:spacing w:val="-1"/>
        </w:rPr>
        <w:t>3、机械费：定额机械费、机械费调整。</w:t>
      </w:r>
    </w:p>
    <w:p>
      <w:pPr>
        <w:pStyle w:val="BodyText"/>
        <w:ind w:left="480"/>
        <w:spacing w:before="192" w:line="220" w:lineRule="auto"/>
        <w:rPr/>
      </w:pPr>
      <w:r>
        <w:rPr>
          <w:spacing w:val="-2"/>
        </w:rPr>
        <w:t>4、管理费。</w:t>
      </w:r>
    </w:p>
    <w:p>
      <w:pPr>
        <w:pStyle w:val="BodyText"/>
        <w:ind w:left="485"/>
        <w:spacing w:before="192" w:line="220" w:lineRule="auto"/>
        <w:rPr/>
      </w:pPr>
      <w:r>
        <w:rPr>
          <w:spacing w:val="-1"/>
        </w:rPr>
        <w:t>5、安全文明施工措施费：安全生产费、文明施工措施费。</w:t>
      </w:r>
    </w:p>
    <w:p>
      <w:pPr>
        <w:pStyle w:val="BodyText"/>
        <w:ind w:left="482"/>
        <w:spacing w:before="191" w:line="219" w:lineRule="auto"/>
        <w:rPr/>
      </w:pPr>
      <w:r>
        <w:rPr>
          <w:spacing w:val="-1"/>
        </w:rPr>
        <w:t>6、其他措施费：材料二次搬运费、夜间施工费、冬雨季施工增加费。</w:t>
      </w:r>
    </w:p>
    <w:p>
      <w:pPr>
        <w:pStyle w:val="BodyText"/>
        <w:ind w:left="486"/>
        <w:spacing w:before="194" w:line="219" w:lineRule="auto"/>
        <w:rPr/>
      </w:pPr>
      <w:r>
        <w:rPr>
          <w:spacing w:val="-1"/>
        </w:rPr>
        <w:t>7、规费：社会保险费、住房公积金。</w:t>
      </w:r>
    </w:p>
    <w:p>
      <w:pPr>
        <w:pStyle w:val="BodyText"/>
        <w:ind w:left="481"/>
        <w:spacing w:before="192" w:line="221" w:lineRule="auto"/>
        <w:rPr/>
      </w:pPr>
      <w:r>
        <w:rPr>
          <w:spacing w:val="-3"/>
        </w:rPr>
        <w:t>8、利润。</w:t>
      </w:r>
    </w:p>
    <w:p>
      <w:pPr>
        <w:pStyle w:val="BodyText"/>
        <w:ind w:left="481"/>
        <w:spacing w:before="190" w:line="220" w:lineRule="auto"/>
        <w:rPr/>
      </w:pPr>
      <w:r>
        <w:rPr>
          <w:spacing w:val="-1"/>
        </w:rPr>
        <w:t>9、税金：增值税，按9% 计取。</w:t>
      </w:r>
    </w:p>
    <w:p>
      <w:pPr>
        <w:pStyle w:val="BodyText"/>
        <w:ind w:left="487"/>
        <w:spacing w:before="192" w:line="219" w:lineRule="auto"/>
        <w:outlineLvl w:val="1"/>
        <w:rPr/>
      </w:pPr>
      <w:r>
        <w:rPr>
          <w:b/>
          <w:bCs/>
          <w:spacing w:val="-2"/>
        </w:rPr>
        <w:t>三、造价指标的发布：</w:t>
      </w:r>
    </w:p>
    <w:p>
      <w:pPr>
        <w:pStyle w:val="BodyText"/>
        <w:ind w:left="481"/>
        <w:spacing w:before="192" w:line="219" w:lineRule="auto"/>
        <w:rPr/>
      </w:pPr>
      <w:r>
        <w:rPr>
          <w:spacing w:val="-1"/>
        </w:rPr>
        <w:t>房屋建筑工程造价指标每季度向社会发布一次 。</w:t>
      </w:r>
    </w:p>
    <w:p>
      <w:pPr>
        <w:pStyle w:val="BodyText"/>
        <w:ind w:left="510"/>
        <w:spacing w:before="194" w:line="220" w:lineRule="auto"/>
        <w:outlineLvl w:val="1"/>
        <w:rPr/>
      </w:pPr>
      <w:r>
        <w:rPr>
          <w:b/>
          <w:bCs/>
          <w:spacing w:val="-6"/>
        </w:rPr>
        <w:t>四、其它说明：</w:t>
      </w:r>
    </w:p>
    <w:p>
      <w:pPr>
        <w:pStyle w:val="BodyText"/>
        <w:ind w:left="3" w:right="360" w:firstLine="494"/>
        <w:spacing w:before="191" w:line="353" w:lineRule="auto"/>
        <w:rPr/>
      </w:pPr>
      <w:r>
        <w:rPr>
          <w:spacing w:val="-1"/>
        </w:rPr>
        <w:t>1、本造价指标仅供郑州市城市建成区使用，为政府各部门、各企事业单位及中介机构等作</w:t>
      </w:r>
      <w:r>
        <w:rPr>
          <w:spacing w:val="11"/>
        </w:rPr>
        <w:t xml:space="preserve"> </w:t>
      </w:r>
      <w:r>
        <w:rPr>
          <w:spacing w:val="-1"/>
        </w:rPr>
        <w:t>为投资及成本控制工作的参考，不作为结算及处理价格纠纷的依据。</w:t>
      </w:r>
    </w:p>
    <w:p>
      <w:pPr>
        <w:pStyle w:val="BodyText"/>
        <w:ind w:left="483"/>
        <w:spacing w:before="38" w:line="219" w:lineRule="auto"/>
        <w:rPr/>
      </w:pPr>
      <w:r>
        <w:rPr>
          <w:spacing w:val="-1"/>
        </w:rPr>
        <w:t>2 、使用本造价指标时需参照造价指标主要特征描述。</w:t>
      </w:r>
    </w:p>
    <w:p>
      <w:pPr>
        <w:pStyle w:val="BodyText"/>
        <w:ind w:left="485"/>
        <w:spacing w:before="192" w:line="219" w:lineRule="auto"/>
        <w:rPr/>
      </w:pPr>
      <w:r>
        <w:rPr>
          <w:spacing w:val="-1"/>
        </w:rPr>
        <w:t>3 、本造价指标由郑州市房屋征收与城市更新中心负责解释。</w:t>
      </w:r>
    </w:p>
    <w:p>
      <w:pPr>
        <w:pStyle w:val="BodyText"/>
        <w:ind w:left="491"/>
        <w:spacing w:before="177" w:line="219" w:lineRule="auto"/>
        <w:outlineLvl w:val="1"/>
        <w:rPr/>
      </w:pPr>
      <w:r>
        <w:rPr>
          <w:b/>
          <w:bCs/>
          <w:spacing w:val="-3"/>
        </w:rPr>
        <w:t>五、发布类型：</w:t>
      </w:r>
    </w:p>
    <w:p>
      <w:pPr>
        <w:pStyle w:val="BodyText"/>
        <w:ind w:left="498"/>
        <w:spacing w:before="164" w:line="220" w:lineRule="auto"/>
        <w:rPr/>
      </w:pPr>
      <w:r>
        <w:rPr>
          <w:spacing w:val="-2"/>
        </w:rPr>
        <w:t>1、住宅楼.框架结构.6层以下含6层</w:t>
      </w:r>
    </w:p>
    <w:p>
      <w:pPr>
        <w:pStyle w:val="BodyText"/>
        <w:ind w:left="483"/>
        <w:spacing w:before="165" w:line="220" w:lineRule="auto"/>
        <w:rPr/>
      </w:pPr>
      <w:r>
        <w:rPr>
          <w:spacing w:val="-1"/>
        </w:rPr>
        <w:t>2、住宅楼.框架剪力墙结构.11层以下含11层</w:t>
      </w:r>
    </w:p>
    <w:p>
      <w:pPr>
        <w:pStyle w:val="BodyText"/>
        <w:ind w:left="485"/>
        <w:spacing w:before="163" w:line="220" w:lineRule="auto"/>
        <w:rPr/>
      </w:pPr>
      <w:r>
        <w:rPr>
          <w:spacing w:val="-1"/>
        </w:rPr>
        <w:t>3、住宅楼.框架剪力墙结构.25层以下含25层</w:t>
      </w:r>
    </w:p>
    <w:p>
      <w:pPr>
        <w:spacing w:line="220" w:lineRule="auto"/>
        <w:sectPr>
          <w:footerReference w:type="default" r:id="rId1"/>
          <w:pgSz w:w="11905" w:h="16837"/>
          <w:pgMar w:top="800" w:right="524" w:bottom="731" w:left="1069" w:header="0" w:footer="496" w:gutter="0"/>
        </w:sectPr>
        <w:rPr/>
      </w:pPr>
    </w:p>
    <w:p>
      <w:pPr>
        <w:pStyle w:val="BodyText"/>
        <w:ind w:left="474"/>
        <w:spacing w:before="48" w:line="220" w:lineRule="auto"/>
        <w:rPr/>
      </w:pPr>
      <w:r>
        <w:rPr>
          <w:spacing w:val="-1"/>
        </w:rPr>
        <w:t>4、住宅楼.框架剪力墙结构.26层以上100米以下</w:t>
      </w:r>
    </w:p>
    <w:p>
      <w:pPr>
        <w:pStyle w:val="BodyText"/>
        <w:ind w:left="480"/>
        <w:spacing w:before="163" w:line="220" w:lineRule="auto"/>
        <w:rPr/>
      </w:pPr>
      <w:r>
        <w:rPr>
          <w:spacing w:val="-1"/>
        </w:rPr>
        <w:t>5、商住楼.框架剪力墙结构.25层以下含25层</w:t>
      </w:r>
    </w:p>
    <w:p>
      <w:pPr>
        <w:pStyle w:val="BodyText"/>
        <w:ind w:left="477"/>
        <w:spacing w:before="162" w:line="220" w:lineRule="auto"/>
        <w:rPr/>
      </w:pPr>
      <w:r>
        <w:rPr>
          <w:spacing w:val="-1"/>
        </w:rPr>
        <w:t>6、商住楼.框架剪力墙结构.26层以上100米以下</w:t>
      </w:r>
    </w:p>
    <w:p>
      <w:pPr>
        <w:pStyle w:val="BodyText"/>
        <w:ind w:left="480"/>
        <w:spacing w:before="160" w:line="220" w:lineRule="auto"/>
        <w:rPr/>
      </w:pPr>
      <w:r>
        <w:rPr>
          <w:spacing w:val="-2"/>
        </w:rPr>
        <w:t>7、教学楼.框架结构.4-5层</w:t>
      </w:r>
    </w:p>
    <w:p>
      <w:pPr>
        <w:pStyle w:val="BodyText"/>
        <w:ind w:left="476"/>
        <w:spacing w:before="162" w:line="220" w:lineRule="auto"/>
        <w:rPr/>
      </w:pPr>
      <w:r>
        <w:rPr>
          <w:spacing w:val="-1"/>
        </w:rPr>
        <w:t>8、宿舍楼.框架结构.6层以下含6层</w:t>
      </w:r>
    </w:p>
    <w:p>
      <w:pPr>
        <w:pStyle w:val="BodyText"/>
        <w:ind w:left="476"/>
        <w:spacing w:before="168" w:line="220" w:lineRule="auto"/>
        <w:rPr/>
      </w:pPr>
      <w:r>
        <w:rPr>
          <w:spacing w:val="-1"/>
        </w:rPr>
        <w:t>9、独立地下车库.框架结构.地下单层</w:t>
      </w:r>
    </w:p>
    <w:p>
      <w:pPr>
        <w:pStyle w:val="BodyText"/>
        <w:ind w:left="492"/>
        <w:spacing w:before="167" w:line="220" w:lineRule="auto"/>
        <w:rPr/>
      </w:pPr>
      <w:r>
        <w:rPr>
          <w:spacing w:val="-2"/>
        </w:rPr>
        <w:t>10、独立地下车库.框架结构.地下二层</w:t>
      </w:r>
    </w:p>
    <w:p>
      <w:pPr>
        <w:pStyle w:val="BodyText"/>
        <w:ind w:left="484"/>
        <w:spacing w:before="168" w:line="220" w:lineRule="auto"/>
        <w:outlineLvl w:val="1"/>
        <w:rPr/>
      </w:pPr>
      <w:r>
        <w:rPr>
          <w:b/>
          <w:bCs/>
          <w:spacing w:val="-3"/>
        </w:rPr>
        <w:t>六、类型说明：</w:t>
      </w:r>
    </w:p>
    <w:p>
      <w:pPr>
        <w:pStyle w:val="BodyText"/>
        <w:ind w:left="492"/>
        <w:spacing w:before="167" w:line="220" w:lineRule="auto"/>
        <w:rPr/>
      </w:pPr>
      <w:r>
        <w:rPr>
          <w:spacing w:val="-1"/>
        </w:rPr>
        <w:t>1、普通住宅楼：是指该楼的使用性质仅为居民居住</w:t>
      </w:r>
      <w:r>
        <w:rPr>
          <w:spacing w:val="-2"/>
        </w:rPr>
        <w:t>使用；</w:t>
      </w:r>
    </w:p>
    <w:p>
      <w:pPr>
        <w:pStyle w:val="BodyText"/>
        <w:ind w:firstLine="478"/>
        <w:spacing w:before="188" w:line="287" w:lineRule="auto"/>
        <w:rPr/>
      </w:pPr>
      <w:r>
        <w:rPr>
          <w:spacing w:val="-1"/>
        </w:rPr>
        <w:t>2、商住楼：是指该楼的使用性质为商、住两用，商住楼一般底</w:t>
      </w:r>
      <w:r>
        <w:rPr>
          <w:spacing w:val="-2"/>
        </w:rPr>
        <w:t>层（或数层）为商场、商店、</w:t>
      </w:r>
      <w:r>
        <w:rPr/>
        <w:t xml:space="preserve"> </w:t>
      </w:r>
      <w:r>
        <w:rPr>
          <w:spacing w:val="-1"/>
        </w:rPr>
        <w:t>商务，其余为住宅的综合性大楼；</w:t>
      </w:r>
    </w:p>
    <w:p>
      <w:pPr>
        <w:pStyle w:val="BodyText"/>
        <w:ind w:left="480"/>
        <w:spacing w:before="156" w:line="219" w:lineRule="auto"/>
        <w:rPr/>
      </w:pPr>
      <w:r>
        <w:rPr>
          <w:spacing w:val="-1"/>
        </w:rPr>
        <w:t>3、教学楼：是指提供教师教学和学生上课的建筑场所；</w:t>
      </w:r>
    </w:p>
    <w:p>
      <w:pPr>
        <w:pStyle w:val="BodyText"/>
        <w:ind w:left="474"/>
        <w:spacing w:before="168" w:line="220" w:lineRule="auto"/>
        <w:rPr/>
      </w:pPr>
      <w:r>
        <w:rPr/>
        <w:t>4、宿舍楼：是指单间，带有独立卫生间或公共卫生间的教</w:t>
      </w:r>
      <w:r>
        <w:rPr>
          <w:spacing w:val="-1"/>
        </w:rPr>
        <w:t>师或学生居住的宿舍；</w:t>
      </w:r>
    </w:p>
    <w:p>
      <w:pPr>
        <w:pStyle w:val="BodyText"/>
        <w:ind w:left="480"/>
        <w:spacing w:before="168" w:line="220" w:lineRule="auto"/>
        <w:rPr/>
      </w:pPr>
      <w:r>
        <w:rPr>
          <w:spacing w:val="-1"/>
        </w:rPr>
        <w:t>5、独立的地下车库：是指±00.00以下没有和其他建筑连接的车库。</w:t>
      </w:r>
    </w:p>
    <w:p>
      <w:pPr>
        <w:pStyle w:val="BodyText"/>
        <w:ind w:left="481"/>
        <w:spacing w:before="166" w:line="221" w:lineRule="auto"/>
        <w:outlineLvl w:val="1"/>
        <w:rPr/>
      </w:pPr>
      <w:r>
        <w:rPr>
          <w:b/>
          <w:bCs/>
          <w:spacing w:val="-3"/>
        </w:rPr>
        <w:t>七、协助单位：</w:t>
      </w:r>
    </w:p>
    <w:p>
      <w:pPr>
        <w:pStyle w:val="BodyText"/>
        <w:ind w:left="492"/>
        <w:spacing w:before="167" w:line="219" w:lineRule="auto"/>
        <w:rPr/>
      </w:pPr>
      <w:r>
        <w:rPr>
          <w:spacing w:val="-1"/>
        </w:rPr>
        <w:t>1、本造价指标的编制由河南金鲁班信息技术有限公司提供软件支持。</w:t>
      </w:r>
    </w:p>
    <w:p>
      <w:pPr>
        <w:pStyle w:val="BodyText"/>
        <w:ind w:left="714" w:right="5060" w:hanging="236"/>
        <w:spacing w:before="169" w:line="285" w:lineRule="auto"/>
        <w:rPr/>
      </w:pPr>
      <w:r>
        <w:rPr>
          <w:spacing w:val="-4"/>
        </w:rPr>
        <w:t>2、本造价指标的数据来源由以下公司提供：</w:t>
      </w:r>
      <w:r>
        <w:rPr>
          <w:spacing w:val="6"/>
        </w:rPr>
        <w:t xml:space="preserve"> </w:t>
      </w:r>
      <w:r>
        <w:rPr>
          <w:spacing w:val="-1"/>
        </w:rPr>
        <w:t>河南兴达工程咨询有限公司</w:t>
      </w:r>
    </w:p>
    <w:p>
      <w:pPr>
        <w:pStyle w:val="BodyText"/>
        <w:ind w:left="720"/>
        <w:spacing w:before="166" w:line="221" w:lineRule="auto"/>
        <w:rPr/>
      </w:pPr>
      <w:r>
        <w:rPr>
          <w:spacing w:val="-2"/>
        </w:rPr>
        <w:t>智博国际工程咨询有限公司</w:t>
      </w:r>
    </w:p>
    <w:p>
      <w:pPr>
        <w:pStyle w:val="BodyText"/>
        <w:ind w:left="714" w:right="6080"/>
        <w:spacing w:before="167" w:line="335" w:lineRule="auto"/>
        <w:rPr/>
      </w:pPr>
      <w:r>
        <w:rPr>
          <w:spacing w:val="-1"/>
        </w:rPr>
        <w:t>河南联创工程造价管理有限公司</w:t>
      </w:r>
      <w:r>
        <w:rPr>
          <w:spacing w:val="4"/>
        </w:rPr>
        <w:t xml:space="preserve"> </w:t>
      </w:r>
      <w:r>
        <w:rPr>
          <w:spacing w:val="-1"/>
        </w:rPr>
        <w:t>河南信人工程造价咨询有限公司</w:t>
      </w:r>
    </w:p>
    <w:p>
      <w:pPr>
        <w:pStyle w:val="BodyText"/>
        <w:ind w:left="717" w:right="7040" w:hanging="2"/>
        <w:spacing w:before="38" w:line="335" w:lineRule="auto"/>
        <w:rPr/>
      </w:pPr>
      <w:r>
        <w:rPr>
          <w:spacing w:val="-1"/>
        </w:rPr>
        <w:t>青炬工程顾问有限公司</w:t>
      </w:r>
      <w:r>
        <w:rPr/>
        <w:t xml:space="preserve"> </w:t>
      </w:r>
      <w:r>
        <w:rPr>
          <w:spacing w:val="-2"/>
        </w:rPr>
        <w:t>大成工程咨询有限公司</w:t>
      </w:r>
    </w:p>
    <w:p>
      <w:pPr>
        <w:pStyle w:val="BodyText"/>
        <w:ind w:left="714" w:right="6560" w:firstLine="23"/>
        <w:spacing w:before="34" w:line="340" w:lineRule="auto"/>
        <w:jc w:val="both"/>
        <w:rPr/>
      </w:pPr>
      <w:r>
        <w:rPr>
          <w:spacing w:val="-3"/>
        </w:rPr>
        <w:t>中咨宏业工程顾问有限公司</w:t>
      </w:r>
      <w:r>
        <w:rPr>
          <w:spacing w:val="3"/>
        </w:rPr>
        <w:t xml:space="preserve"> </w:t>
      </w:r>
      <w:r>
        <w:rPr>
          <w:spacing w:val="-1"/>
        </w:rPr>
        <w:t>河南中州工程咨询有限公司</w:t>
      </w:r>
      <w:r>
        <w:rPr>
          <w:spacing w:val="2"/>
        </w:rPr>
        <w:t xml:space="preserve"> </w:t>
      </w:r>
      <w:r>
        <w:rPr>
          <w:spacing w:val="-1"/>
        </w:rPr>
        <w:t>润恒工程管理有限公司</w:t>
      </w:r>
    </w:p>
    <w:p>
      <w:pPr>
        <w:pStyle w:val="BodyText"/>
        <w:ind w:left="737" w:right="6560" w:hanging="23"/>
        <w:spacing w:before="36" w:line="335" w:lineRule="auto"/>
        <w:rPr/>
      </w:pPr>
      <w:r>
        <w:rPr>
          <w:spacing w:val="-1"/>
        </w:rPr>
        <w:t>河南龙华工程咨询有限公司</w:t>
      </w:r>
      <w:r>
        <w:rPr>
          <w:spacing w:val="2"/>
        </w:rPr>
        <w:t xml:space="preserve"> </w:t>
      </w:r>
      <w:r>
        <w:rPr>
          <w:spacing w:val="-3"/>
        </w:rPr>
        <w:t>中兴豫建设管理有限公司</w:t>
      </w:r>
    </w:p>
    <w:p>
      <w:pPr>
        <w:pStyle w:val="BodyText"/>
        <w:ind w:left="716"/>
        <w:spacing w:before="36" w:line="220" w:lineRule="auto"/>
        <w:rPr/>
      </w:pPr>
      <w:r>
        <w:rPr>
          <w:spacing w:val="-1"/>
        </w:rPr>
        <w:t>方大国际工程咨询股份有限公司</w:t>
      </w:r>
    </w:p>
    <w:p>
      <w:pPr>
        <w:pStyle w:val="BodyText"/>
        <w:ind w:left="714" w:right="6560" w:firstLine="23"/>
        <w:spacing w:before="165" w:line="341" w:lineRule="auto"/>
        <w:jc w:val="both"/>
        <w:rPr/>
      </w:pPr>
      <w:r>
        <w:rPr>
          <w:spacing w:val="-3"/>
        </w:rPr>
        <w:t>中审润奥项目管理有限公司</w:t>
      </w:r>
      <w:r>
        <w:rPr>
          <w:spacing w:val="3"/>
        </w:rPr>
        <w:t xml:space="preserve"> </w:t>
      </w:r>
      <w:r>
        <w:rPr>
          <w:spacing w:val="-1"/>
        </w:rPr>
        <w:t>公正工程管理咨询有限公司</w:t>
      </w:r>
      <w:r>
        <w:rPr>
          <w:spacing w:val="2"/>
        </w:rPr>
        <w:t xml:space="preserve"> </w:t>
      </w:r>
      <w:r>
        <w:rPr>
          <w:spacing w:val="-1"/>
        </w:rPr>
        <w:t>河南惠德工程咨询有限公司</w:t>
      </w:r>
    </w:p>
    <w:sectPr>
      <w:footerReference w:type="default" r:id="rId2"/>
      <w:pgSz w:w="11905" w:h="16837"/>
      <w:pgMar w:top="809" w:right="683" w:bottom="731" w:left="1075" w:header="0" w:footer="4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83"/>
      <w:spacing w:line="219" w:lineRule="auto"/>
      <w:rPr>
        <w:sz w:val="19"/>
        <w:szCs w:val="19"/>
      </w:rPr>
    </w:pPr>
    <w:r>
      <w:rPr>
        <w:sz w:val="19"/>
        <w:szCs w:val="19"/>
        <w:spacing w:val="-5"/>
      </w:rPr>
      <w:t>第</w:t>
    </w:r>
    <w:r>
      <w:rPr>
        <w:sz w:val="19"/>
        <w:szCs w:val="19"/>
        <w:spacing w:val="32"/>
      </w:rPr>
      <w:t xml:space="preserve"> </w:t>
    </w:r>
    <w:r>
      <w:rPr>
        <w:sz w:val="19"/>
        <w:szCs w:val="19"/>
        <w:spacing w:val="-5"/>
      </w:rPr>
      <w:t>1</w:t>
    </w:r>
    <w:r>
      <w:rPr>
        <w:sz w:val="19"/>
        <w:szCs w:val="19"/>
        <w:spacing w:val="13"/>
      </w:rPr>
      <w:t xml:space="preserve"> </w:t>
    </w:r>
    <w:r>
      <w:rPr>
        <w:sz w:val="19"/>
        <w:szCs w:val="19"/>
        <w:spacing w:val="-5"/>
      </w:rPr>
      <w:t>页</w:t>
    </w:r>
    <w:r>
      <w:rPr>
        <w:sz w:val="19"/>
        <w:szCs w:val="19"/>
        <w:spacing w:val="13"/>
      </w:rPr>
      <w:t xml:space="preserve"> </w:t>
    </w:r>
    <w:r>
      <w:rPr>
        <w:sz w:val="19"/>
        <w:szCs w:val="19"/>
        <w:spacing w:val="-5"/>
      </w:rPr>
      <w:t>共</w:t>
    </w:r>
    <w:r>
      <w:rPr>
        <w:sz w:val="19"/>
        <w:szCs w:val="19"/>
        <w:spacing w:val="28"/>
      </w:rPr>
      <w:t xml:space="preserve"> </w:t>
    </w:r>
    <w:r>
      <w:rPr>
        <w:sz w:val="19"/>
        <w:szCs w:val="19"/>
        <w:spacing w:val="-5"/>
      </w:rPr>
      <w:t>12</w:t>
    </w:r>
    <w:r>
      <w:rPr>
        <w:sz w:val="19"/>
        <w:szCs w:val="19"/>
        <w:spacing w:val="32"/>
      </w:rPr>
      <w:t xml:space="preserve"> </w:t>
    </w:r>
    <w:r>
      <w:rPr>
        <w:sz w:val="19"/>
        <w:szCs w:val="19"/>
        <w:spacing w:val="-5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77"/>
      <w:spacing w:line="219" w:lineRule="auto"/>
      <w:rPr>
        <w:sz w:val="19"/>
        <w:szCs w:val="19"/>
      </w:rPr>
    </w:pPr>
    <w:r>
      <w:rPr>
        <w:sz w:val="19"/>
        <w:szCs w:val="19"/>
        <w:spacing w:val="-3"/>
      </w:rPr>
      <w:t>第</w:t>
    </w:r>
    <w:r>
      <w:rPr>
        <w:sz w:val="19"/>
        <w:szCs w:val="19"/>
        <w:spacing w:val="18"/>
      </w:rPr>
      <w:t xml:space="preserve"> </w:t>
    </w:r>
    <w:r>
      <w:rPr>
        <w:sz w:val="19"/>
        <w:szCs w:val="19"/>
        <w:spacing w:val="-3"/>
      </w:rPr>
      <w:t>2</w:t>
    </w:r>
    <w:r>
      <w:rPr>
        <w:sz w:val="19"/>
        <w:szCs w:val="19"/>
        <w:spacing w:val="13"/>
      </w:rPr>
      <w:t xml:space="preserve"> </w:t>
    </w:r>
    <w:r>
      <w:rPr>
        <w:sz w:val="19"/>
        <w:szCs w:val="19"/>
        <w:spacing w:val="-3"/>
      </w:rPr>
      <w:t>页</w:t>
    </w:r>
    <w:r>
      <w:rPr>
        <w:sz w:val="19"/>
        <w:szCs w:val="19"/>
        <w:spacing w:val="13"/>
      </w:rPr>
      <w:t xml:space="preserve"> </w:t>
    </w:r>
    <w:r>
      <w:rPr>
        <w:sz w:val="19"/>
        <w:szCs w:val="19"/>
        <w:spacing w:val="-3"/>
      </w:rPr>
      <w:t>共</w:t>
    </w:r>
    <w:r>
      <w:rPr>
        <w:sz w:val="19"/>
        <w:szCs w:val="19"/>
        <w:spacing w:val="28"/>
      </w:rPr>
      <w:t xml:space="preserve"> </w:t>
    </w:r>
    <w:r>
      <w:rPr>
        <w:sz w:val="19"/>
        <w:szCs w:val="19"/>
        <w:spacing w:val="-3"/>
      </w:rPr>
      <w:t>12</w:t>
    </w:r>
    <w:r>
      <w:rPr>
        <w:sz w:val="19"/>
        <w:szCs w:val="19"/>
        <w:spacing w:val="32"/>
      </w:rPr>
      <w:t xml:space="preserve"> </w:t>
    </w:r>
    <w:r>
      <w:rPr>
        <w:sz w:val="19"/>
        <w:szCs w:val="19"/>
        <w:spacing w:val="-3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dcterms:created xsi:type="dcterms:W3CDTF">2025-01-24T15:29:06Z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2025-01-26T17:34:18</vt:filetime>
  </property>
</Properties>
</file>