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6" w:right="154" w:firstLine="170"/>
        <w:spacing w:before="143" w:line="224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郑州市政府投资的房屋建筑和市政基础设施</w:t>
      </w:r>
      <w:r>
        <w:rPr>
          <w:rFonts w:ascii="SimSun" w:hAnsi="SimSun" w:eastAsia="SimSun" w:cs="SimSun"/>
          <w:sz w:val="44"/>
          <w:szCs w:val="44"/>
          <w:spacing w:val="2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spacing w:val="12"/>
        </w:rPr>
        <w:t>工程招标投标“评定分离”工作指引(试行)</w:t>
      </w:r>
    </w:p>
    <w:p>
      <w:pPr>
        <w:ind w:left="3006"/>
        <w:spacing w:before="1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7"/>
        </w:rPr>
        <w:t>(征求意见稿)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firstLine="609"/>
        <w:spacing w:before="101" w:line="327" w:lineRule="auto"/>
        <w:jc w:val="both"/>
        <w:rPr/>
      </w:pPr>
      <w:r>
        <w:rPr>
          <w:spacing w:val="13"/>
        </w:rPr>
        <w:t>根据《国务院办公厅关于创新体制机制推动招标投标市场</w:t>
      </w:r>
      <w:r>
        <w:rPr>
          <w:spacing w:val="3"/>
        </w:rPr>
        <w:t xml:space="preserve">  </w:t>
      </w:r>
      <w:r>
        <w:rPr>
          <w:spacing w:val="22"/>
        </w:rPr>
        <w:t>规范健康发展的意见》(国办法〔2024〕21号)、《河南省政</w:t>
      </w:r>
      <w:r>
        <w:rPr>
          <w:spacing w:val="2"/>
        </w:rPr>
        <w:t xml:space="preserve"> </w:t>
      </w:r>
      <w:r>
        <w:rPr>
          <w:spacing w:val="18"/>
        </w:rPr>
        <w:t>府投资工程建设项目招标投标“评定分离”</w:t>
      </w:r>
      <w:r>
        <w:rPr>
          <w:spacing w:val="17"/>
        </w:rPr>
        <w:t>管理办法》(豫发</w:t>
      </w:r>
      <w:r>
        <w:rPr/>
        <w:t xml:space="preserve">  </w:t>
      </w:r>
      <w:r>
        <w:rPr>
          <w:spacing w:val="9"/>
        </w:rPr>
        <w:t>改公管规〔2025〕559号)、《河南省住房和城乡建设厅关于房</w:t>
      </w:r>
      <w:r>
        <w:rPr>
          <w:spacing w:val="8"/>
        </w:rPr>
        <w:t xml:space="preserve">  </w:t>
      </w:r>
      <w:r>
        <w:rPr>
          <w:spacing w:val="6"/>
        </w:rPr>
        <w:t>屋建筑和市政基础设施工程实施招标投标“评定分离”的通知》</w:t>
      </w:r>
      <w:r>
        <w:rPr>
          <w:spacing w:val="5"/>
        </w:rPr>
        <w:t xml:space="preserve"> </w:t>
      </w:r>
      <w:r>
        <w:rPr>
          <w:spacing w:val="16"/>
        </w:rPr>
        <w:t>(豫建市〔2025〕146号)等有关规定，结合我市实际，制定本</w:t>
      </w:r>
      <w:r>
        <w:rPr>
          <w:spacing w:val="3"/>
        </w:rPr>
        <w:t xml:space="preserve">  </w:t>
      </w:r>
      <w:r>
        <w:rPr>
          <w:spacing w:val="1"/>
        </w:rPr>
        <w:t>工作指引。</w:t>
      </w:r>
    </w:p>
    <w:p>
      <w:pPr>
        <w:ind w:left="614"/>
        <w:spacing w:before="50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一、总体原则</w:t>
      </w:r>
    </w:p>
    <w:p>
      <w:pPr>
        <w:pStyle w:val="BodyText"/>
        <w:ind w:right="121" w:firstLine="609"/>
        <w:spacing w:before="154" w:line="328" w:lineRule="auto"/>
        <w:jc w:val="both"/>
        <w:rPr/>
      </w:pPr>
      <w:r>
        <w:rPr>
          <w:spacing w:val="13"/>
        </w:rPr>
        <w:t>为进一步深化工程建设项目招标投标机制改革，规范招标</w:t>
      </w:r>
      <w:r>
        <w:rPr>
          <w:spacing w:val="3"/>
        </w:rPr>
        <w:t xml:space="preserve"> </w:t>
      </w:r>
      <w:r>
        <w:rPr>
          <w:spacing w:val="13"/>
        </w:rPr>
        <w:t>投标活动，落实招标人主体责任，实现招标人权责统一</w:t>
      </w:r>
      <w:r>
        <w:rPr>
          <w:spacing w:val="12"/>
        </w:rPr>
        <w:t>和招标</w:t>
      </w:r>
      <w:r>
        <w:rPr/>
        <w:t xml:space="preserve"> </w:t>
      </w:r>
      <w:r>
        <w:rPr>
          <w:spacing w:val="13"/>
        </w:rPr>
        <w:t>项目“评优择优”目标，“评定分离”办法将招标投标</w:t>
      </w:r>
      <w:r>
        <w:rPr>
          <w:spacing w:val="12"/>
        </w:rPr>
        <w:t>活动中</w:t>
      </w:r>
      <w:r>
        <w:rPr/>
        <w:t xml:space="preserve"> </w:t>
      </w:r>
      <w:r>
        <w:rPr>
          <w:spacing w:val="12"/>
        </w:rPr>
        <w:t>的“评标委员会评标”与“招标人定标”分离为相对独立的两</w:t>
      </w:r>
      <w:r>
        <w:rPr>
          <w:spacing w:val="3"/>
        </w:rPr>
        <w:t xml:space="preserve"> </w:t>
      </w:r>
      <w:r>
        <w:rPr>
          <w:spacing w:val="13"/>
        </w:rPr>
        <w:t>个环节，遵循公开透明、竞争择优、科学规范、廉洁高效的原</w:t>
      </w:r>
      <w:r>
        <w:rPr>
          <w:spacing w:val="11"/>
        </w:rPr>
        <w:t xml:space="preserve"> </w:t>
      </w:r>
      <w:r>
        <w:rPr>
          <w:spacing w:val="13"/>
        </w:rPr>
        <w:t>则，由招标人在评标委员会评审和推荐的基础上，根据招标文</w:t>
      </w:r>
      <w:r>
        <w:rPr>
          <w:spacing w:val="2"/>
        </w:rPr>
        <w:t xml:space="preserve"> </w:t>
      </w:r>
      <w:r>
        <w:rPr>
          <w:spacing w:val="7"/>
        </w:rPr>
        <w:t>件规定的定标方法和程序进行定标，确定中标人。</w:t>
      </w:r>
    </w:p>
    <w:p>
      <w:pPr>
        <w:ind w:left="614"/>
        <w:spacing w:before="110" w:line="223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二、适用范围</w:t>
      </w:r>
    </w:p>
    <w:p>
      <w:pPr>
        <w:pStyle w:val="BodyText"/>
        <w:ind w:left="609"/>
        <w:spacing w:before="153" w:line="220" w:lineRule="auto"/>
        <w:rPr/>
      </w:pPr>
      <w:r>
        <w:rPr>
          <w:spacing w:val="13"/>
        </w:rPr>
        <w:t>本指引适用范围为郑州市行政区域内，依法必须招标的政</w:t>
      </w:r>
    </w:p>
    <w:p>
      <w:pPr>
        <w:spacing w:line="220" w:lineRule="auto"/>
        <w:sectPr>
          <w:footerReference w:type="default" r:id="rId1"/>
          <w:pgSz w:w="11900" w:h="16830"/>
          <w:pgMar w:top="1430" w:right="1455" w:bottom="1797" w:left="1589" w:header="0" w:footer="1519" w:gutter="0"/>
        </w:sectPr>
        <w:rPr/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府投资的房屋建筑和市政基础设施工程建设项目。</w:t>
      </w:r>
    </w:p>
    <w:p>
      <w:pPr>
        <w:ind w:left="634"/>
        <w:spacing w:before="169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三、工作流程</w:t>
      </w:r>
    </w:p>
    <w:p>
      <w:pPr>
        <w:pStyle w:val="BodyText"/>
        <w:ind w:left="790"/>
        <w:spacing w:before="168" w:line="220" w:lineRule="auto"/>
        <w:rPr>
          <w:sz w:val="32"/>
          <w:szCs w:val="32"/>
        </w:rPr>
      </w:pPr>
      <w:r>
        <w:rPr>
          <w:sz w:val="32"/>
          <w:szCs w:val="32"/>
          <w:spacing w:val="8"/>
        </w:rPr>
        <w:t>(1)招标人发布招标计划。</w:t>
      </w:r>
    </w:p>
    <w:p>
      <w:pPr>
        <w:pStyle w:val="BodyText"/>
        <w:ind w:left="790"/>
        <w:spacing w:before="188" w:line="220" w:lineRule="auto"/>
        <w:rPr>
          <w:sz w:val="32"/>
          <w:szCs w:val="32"/>
        </w:rPr>
      </w:pPr>
      <w:r>
        <w:rPr>
          <w:sz w:val="32"/>
          <w:szCs w:val="32"/>
          <w:spacing w:val="6"/>
        </w:rPr>
        <w:t>(2)招标人发布招标公告、招标文件。</w:t>
      </w:r>
    </w:p>
    <w:p>
      <w:pPr>
        <w:pStyle w:val="BodyText"/>
        <w:ind w:left="790"/>
        <w:spacing w:before="188" w:line="220" w:lineRule="auto"/>
        <w:rPr>
          <w:sz w:val="32"/>
          <w:szCs w:val="32"/>
        </w:rPr>
      </w:pPr>
      <w:r>
        <w:rPr>
          <w:sz w:val="32"/>
          <w:szCs w:val="32"/>
          <w:spacing w:val="6"/>
        </w:rPr>
        <w:t>(3)投标人编制并提交投标文件。</w:t>
      </w:r>
    </w:p>
    <w:p>
      <w:pPr>
        <w:pStyle w:val="BodyText"/>
        <w:ind w:left="790"/>
        <w:spacing w:before="163" w:line="222" w:lineRule="auto"/>
        <w:rPr>
          <w:sz w:val="32"/>
          <w:szCs w:val="32"/>
        </w:rPr>
      </w:pPr>
      <w:r>
        <w:rPr>
          <w:sz w:val="32"/>
          <w:szCs w:val="32"/>
          <w:spacing w:val="10"/>
        </w:rPr>
        <w:t>(4)招标人组织开标。</w:t>
      </w:r>
    </w:p>
    <w:p>
      <w:pPr>
        <w:pStyle w:val="BodyText"/>
        <w:ind w:right="12" w:firstLine="790"/>
        <w:spacing w:before="165" w:line="279" w:lineRule="auto"/>
        <w:rPr>
          <w:sz w:val="32"/>
          <w:szCs w:val="32"/>
        </w:rPr>
      </w:pPr>
      <w:r>
        <w:rPr>
          <w:sz w:val="32"/>
          <w:szCs w:val="32"/>
          <w:spacing w:val="3"/>
        </w:rPr>
        <w:t>(5)评标委员会按照招标文件规定的评标标准和方法向招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-4"/>
        </w:rPr>
        <w:t>标人推荐中标候选人，并出具评标报告。</w:t>
      </w:r>
    </w:p>
    <w:p>
      <w:pPr>
        <w:pStyle w:val="BodyText"/>
        <w:ind w:left="790"/>
        <w:spacing w:before="159" w:line="220" w:lineRule="auto"/>
        <w:rPr>
          <w:sz w:val="32"/>
          <w:szCs w:val="32"/>
        </w:rPr>
      </w:pPr>
      <w:r>
        <w:rPr>
          <w:sz w:val="32"/>
          <w:szCs w:val="32"/>
          <w:spacing w:val="6"/>
        </w:rPr>
        <w:t>(6)招标人发布中标候选人公示。</w:t>
      </w:r>
    </w:p>
    <w:p>
      <w:pPr>
        <w:pStyle w:val="BodyText"/>
        <w:ind w:firstLine="790"/>
        <w:spacing w:before="170" w:line="282" w:lineRule="auto"/>
        <w:rPr>
          <w:sz w:val="32"/>
          <w:szCs w:val="32"/>
        </w:rPr>
      </w:pPr>
      <w:r>
        <w:rPr>
          <w:sz w:val="32"/>
          <w:szCs w:val="32"/>
          <w:spacing w:val="4"/>
        </w:rPr>
        <w:t>(7)招标人组建定标委员会，对中标候选人进行核查，按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4"/>
        </w:rPr>
        <w:t>照招标文件规定的定标方法和程序确定中标人。</w:t>
      </w:r>
    </w:p>
    <w:p>
      <w:pPr>
        <w:pStyle w:val="BodyText"/>
        <w:ind w:left="790"/>
        <w:spacing w:before="151" w:line="220" w:lineRule="auto"/>
        <w:rPr>
          <w:sz w:val="32"/>
          <w:szCs w:val="32"/>
        </w:rPr>
      </w:pPr>
      <w:r>
        <w:rPr>
          <w:sz w:val="32"/>
          <w:szCs w:val="32"/>
          <w:spacing w:val="8"/>
        </w:rPr>
        <w:t>(8)招标人发布中标结果公示。</w:t>
      </w:r>
    </w:p>
    <w:p>
      <w:pPr>
        <w:pStyle w:val="BodyText"/>
        <w:ind w:left="790"/>
        <w:spacing w:before="192" w:line="222" w:lineRule="auto"/>
        <w:rPr>
          <w:sz w:val="32"/>
          <w:szCs w:val="32"/>
        </w:rPr>
      </w:pPr>
      <w:r>
        <w:rPr>
          <w:sz w:val="32"/>
          <w:szCs w:val="32"/>
          <w:spacing w:val="8"/>
        </w:rPr>
        <w:t>(9)招标人发出中标通知书。</w:t>
      </w:r>
    </w:p>
    <w:p>
      <w:pPr>
        <w:pStyle w:val="BodyText"/>
        <w:ind w:left="790"/>
        <w:spacing w:before="186" w:line="222" w:lineRule="auto"/>
        <w:rPr>
          <w:sz w:val="32"/>
          <w:szCs w:val="32"/>
        </w:rPr>
      </w:pPr>
      <w:r>
        <w:rPr>
          <w:sz w:val="32"/>
          <w:szCs w:val="32"/>
          <w:spacing w:val="6"/>
        </w:rPr>
        <w:t>(10)招标人提交招投标情况书面报告。</w:t>
      </w:r>
    </w:p>
    <w:p>
      <w:pPr>
        <w:pStyle w:val="BodyText"/>
        <w:ind w:right="2" w:firstLine="790"/>
        <w:spacing w:before="149" w:line="280" w:lineRule="auto"/>
        <w:rPr>
          <w:sz w:val="32"/>
          <w:szCs w:val="32"/>
        </w:rPr>
      </w:pPr>
      <w:r>
        <w:rPr>
          <w:sz w:val="32"/>
          <w:szCs w:val="32"/>
          <w:spacing w:val="10"/>
        </w:rPr>
        <w:t>(11)招标人与中标人签订合同，并发布合同订立信息公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-10"/>
        </w:rPr>
        <w:t>示。</w:t>
      </w:r>
    </w:p>
    <w:p>
      <w:pPr>
        <w:ind w:left="654"/>
        <w:spacing w:before="203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四、标前阶段</w:t>
      </w:r>
    </w:p>
    <w:p>
      <w:pPr>
        <w:pStyle w:val="BodyText"/>
        <w:ind w:right="23" w:firstLine="790"/>
        <w:spacing w:before="125" w:line="323" w:lineRule="auto"/>
        <w:rPr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9"/>
        </w:rPr>
        <w:t>(一)制定项目实施方案</w:t>
      </w:r>
      <w:r>
        <w:rPr>
          <w:sz w:val="32"/>
          <w:szCs w:val="32"/>
          <w:spacing w:val="9"/>
        </w:rPr>
        <w:t>。在招标工作启动</w:t>
      </w:r>
      <w:r>
        <w:rPr>
          <w:sz w:val="32"/>
          <w:szCs w:val="32"/>
          <w:spacing w:val="8"/>
        </w:rPr>
        <w:t>前，招标人应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当制定项目实施方案，包括招标代理机构的选取方式、参与评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"/>
        </w:rPr>
        <w:t>标的招标人代表委派方式、定标方法、定标因素、定标程序、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14"/>
        </w:rPr>
        <w:t>定标委员会组建方式等内容，并报本单位党组(党委)研究批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-3"/>
        </w:rPr>
        <w:t>准。招标活动必须严格执行项目实施方案，不得临时改变。</w:t>
      </w:r>
    </w:p>
    <w:p>
      <w:pPr>
        <w:spacing w:line="323" w:lineRule="auto"/>
        <w:sectPr>
          <w:footerReference w:type="default" r:id="rId2"/>
          <w:pgSz w:w="11900" w:h="16830"/>
          <w:pgMar w:top="1430" w:right="1585" w:bottom="1847" w:left="1579" w:header="0" w:footer="1364" w:gutter="0"/>
        </w:sectPr>
        <w:rPr>
          <w:sz w:val="32"/>
          <w:szCs w:val="32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4" w:firstLine="790"/>
        <w:spacing w:before="101" w:line="305" w:lineRule="auto"/>
        <w:rPr/>
      </w:pPr>
      <w:r>
        <w:rPr>
          <w:rFonts w:ascii="KaiTi" w:hAnsi="KaiTi" w:eastAsia="KaiTi" w:cs="KaiTi"/>
          <w:spacing w:val="13"/>
        </w:rPr>
        <w:t>(二)健全内部监督检查机制。</w:t>
      </w:r>
      <w:r>
        <w:rPr>
          <w:rFonts w:ascii="KaiTi" w:hAnsi="KaiTi" w:eastAsia="KaiTi" w:cs="KaiTi"/>
          <w:spacing w:val="13"/>
        </w:rPr>
        <w:t xml:space="preserve"> </w:t>
      </w:r>
      <w:r>
        <w:rPr>
          <w:spacing w:val="13"/>
        </w:rPr>
        <w:t>招标人应从本单位委派内</w:t>
      </w:r>
      <w:r>
        <w:rPr>
          <w:spacing w:val="15"/>
        </w:rPr>
        <w:t xml:space="preserve"> </w:t>
      </w:r>
      <w:r>
        <w:rPr>
          <w:spacing w:val="10"/>
        </w:rPr>
        <w:t>部监督人员，其职责是对开标、评标、定标等过程现场监督，</w:t>
      </w:r>
      <w:r>
        <w:rPr>
          <w:spacing w:val="13"/>
        </w:rPr>
        <w:t xml:space="preserve"> </w:t>
      </w:r>
      <w:r>
        <w:rPr>
          <w:spacing w:val="12"/>
        </w:rPr>
        <w:t>及时指出、制止违反程序及纪律的行为，发现违法违规行为及</w:t>
      </w:r>
      <w:r>
        <w:rPr>
          <w:spacing w:val="17"/>
        </w:rPr>
        <w:t xml:space="preserve"> </w:t>
      </w:r>
      <w:r>
        <w:rPr>
          <w:spacing w:val="3"/>
        </w:rPr>
        <w:t>时报告行政监督部门。</w:t>
      </w:r>
    </w:p>
    <w:p>
      <w:pPr>
        <w:pStyle w:val="BodyText"/>
        <w:ind w:right="19" w:firstLine="804"/>
        <w:spacing w:before="188" w:line="308" w:lineRule="auto"/>
        <w:rPr/>
      </w:pPr>
      <w:r>
        <w:rPr>
          <w:spacing w:val="19"/>
        </w:rPr>
        <w:t>(三)建立招标文件公平竞争审查机制</w:t>
      </w:r>
      <w:r>
        <w:rPr>
          <w:rFonts w:ascii="KaiTi" w:hAnsi="KaiTi" w:eastAsia="KaiTi" w:cs="KaiTi"/>
          <w:spacing w:val="19"/>
        </w:rPr>
        <w:t>。</w:t>
      </w:r>
      <w:r>
        <w:rPr>
          <w:spacing w:val="19"/>
        </w:rPr>
        <w:t>招标人应当按照</w:t>
      </w:r>
      <w:r>
        <w:rPr>
          <w:spacing w:val="14"/>
        </w:rPr>
        <w:t xml:space="preserve"> </w:t>
      </w:r>
      <w:r>
        <w:rPr>
          <w:spacing w:val="18"/>
        </w:rPr>
        <w:t>《招标投标领域公平竞争审查规则》(国家发改委等八部委令</w:t>
      </w:r>
      <w:r>
        <w:rPr>
          <w:spacing w:val="3"/>
        </w:rPr>
        <w:t xml:space="preserve"> </w:t>
      </w:r>
      <w:r>
        <w:rPr>
          <w:spacing w:val="18"/>
        </w:rPr>
        <w:t>第16号)对招标文件开展公平竞争审查，填写《招标文件公平</w:t>
      </w:r>
      <w:r>
        <w:rPr>
          <w:spacing w:val="5"/>
        </w:rPr>
        <w:t xml:space="preserve"> </w:t>
      </w:r>
      <w:r>
        <w:rPr>
          <w:spacing w:val="15"/>
        </w:rPr>
        <w:t>竞争审查自查表》,随招标文件一并发布。</w:t>
      </w:r>
    </w:p>
    <w:p>
      <w:pPr>
        <w:ind w:left="639"/>
        <w:spacing w:before="179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五、评标阶段</w:t>
      </w:r>
    </w:p>
    <w:p>
      <w:pPr>
        <w:pStyle w:val="BodyText"/>
        <w:ind w:left="14" w:right="19" w:firstLine="619"/>
        <w:spacing w:before="179" w:line="334" w:lineRule="auto"/>
        <w:jc w:val="both"/>
        <w:rPr/>
      </w:pPr>
      <w:r>
        <w:rPr>
          <w:spacing w:val="13"/>
        </w:rPr>
        <w:t>评标委员会按照现行法律法规规定和招标文件确定的评标</w:t>
      </w:r>
      <w:r>
        <w:rPr>
          <w:spacing w:val="13"/>
        </w:rPr>
        <w:t xml:space="preserve"> </w:t>
      </w:r>
      <w:r>
        <w:rPr>
          <w:spacing w:val="12"/>
        </w:rPr>
        <w:t>标准和方法进行评审，评标委员会完成评标后，应当向招标人</w:t>
      </w:r>
      <w:r>
        <w:rPr>
          <w:spacing w:val="14"/>
        </w:rPr>
        <w:t xml:space="preserve"> </w:t>
      </w:r>
      <w:r>
        <w:rPr>
          <w:spacing w:val="13"/>
        </w:rPr>
        <w:t>提交书面评标报告，并按招标文件规定的数量推荐出不排</w:t>
      </w:r>
      <w:r>
        <w:rPr>
          <w:spacing w:val="12"/>
        </w:rPr>
        <w:t>序的</w:t>
      </w:r>
      <w:r>
        <w:rPr/>
        <w:t xml:space="preserve"> </w:t>
      </w:r>
      <w:r>
        <w:rPr>
          <w:spacing w:val="-3"/>
        </w:rPr>
        <w:t>中标候选人。</w:t>
      </w:r>
    </w:p>
    <w:p>
      <w:pPr>
        <w:ind w:left="639"/>
        <w:spacing w:before="6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六、定标阶段</w:t>
      </w:r>
    </w:p>
    <w:p>
      <w:pPr>
        <w:pStyle w:val="BodyText"/>
        <w:ind w:left="14" w:right="130" w:firstLine="619"/>
        <w:spacing w:before="171" w:line="341" w:lineRule="auto"/>
        <w:rPr/>
      </w:pPr>
      <w:r>
        <w:rPr>
          <w:spacing w:val="9"/>
        </w:rPr>
        <w:t>招标文件应明确定标委员会的组建方式及成员数量、定标</w:t>
      </w:r>
      <w:r>
        <w:rPr>
          <w:spacing w:val="13"/>
        </w:rPr>
        <w:t xml:space="preserve"> </w:t>
      </w:r>
      <w:r>
        <w:rPr>
          <w:spacing w:val="6"/>
        </w:rPr>
        <w:t>因素、定标方法、地点及公告方式等内容。</w:t>
      </w:r>
    </w:p>
    <w:p>
      <w:pPr>
        <w:ind w:left="809"/>
        <w:spacing w:before="1" w:line="226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8"/>
        </w:rPr>
        <w:t>(一)组建定标委员会</w:t>
      </w:r>
    </w:p>
    <w:p>
      <w:pPr>
        <w:pStyle w:val="BodyText"/>
        <w:ind w:left="14" w:right="17" w:firstLine="660"/>
        <w:spacing w:before="160" w:line="376" w:lineRule="auto"/>
        <w:jc w:val="both"/>
        <w:rPr/>
      </w:pPr>
      <w:r>
        <w:rPr>
          <w:spacing w:val="18"/>
        </w:rPr>
        <w:t>招标人负责组建定标委员会，成员为5人及以上单数，招</w:t>
      </w:r>
      <w:r>
        <w:rPr>
          <w:spacing w:val="15"/>
        </w:rPr>
        <w:t xml:space="preserve"> </w:t>
      </w:r>
      <w:r>
        <w:rPr>
          <w:spacing w:val="12"/>
        </w:rPr>
        <w:t>标人单位人员原则上不得少于成员总数的三分之二，本单位人</w:t>
      </w:r>
      <w:r>
        <w:rPr>
          <w:spacing w:val="14"/>
        </w:rPr>
        <w:t xml:space="preserve"> </w:t>
      </w:r>
      <w:r>
        <w:rPr>
          <w:spacing w:val="11"/>
        </w:rPr>
        <w:t>员不足的，可以从与其有管理、控股关系的上级单位或建设单</w:t>
      </w:r>
      <w:r>
        <w:rPr>
          <w:spacing w:val="13"/>
        </w:rPr>
        <w:t xml:space="preserve"> </w:t>
      </w:r>
      <w:r>
        <w:rPr>
          <w:spacing w:val="13"/>
        </w:rPr>
        <w:t>位中选派。定标委员会组长原则上由招标人的法</w:t>
      </w:r>
      <w:r>
        <w:rPr>
          <w:spacing w:val="12"/>
        </w:rPr>
        <w:t>定代表人、主</w:t>
      </w:r>
      <w:r>
        <w:rPr/>
        <w:t xml:space="preserve"> </w:t>
      </w:r>
      <w:r>
        <w:rPr>
          <w:spacing w:val="12"/>
        </w:rPr>
        <w:t>要负责人或分管负责人担任，招标人临时聘用人员、内部监督</w:t>
      </w:r>
    </w:p>
    <w:p>
      <w:pPr>
        <w:spacing w:line="376" w:lineRule="auto"/>
        <w:sectPr>
          <w:footerReference w:type="default" r:id="rId3"/>
          <w:pgSz w:w="11900" w:h="16830"/>
          <w:pgMar w:top="1430" w:right="1560" w:bottom="1867" w:left="1585" w:header="0" w:footer="1387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right="80"/>
        <w:spacing w:before="101" w:line="380" w:lineRule="auto"/>
        <w:rPr/>
      </w:pPr>
      <w:r>
        <w:rPr>
          <w:spacing w:val="13"/>
        </w:rPr>
        <w:t>人员原则上不得担任定标委员会成员。其他成员可由招标人自</w:t>
      </w:r>
      <w:r>
        <w:rPr>
          <w:spacing w:val="17"/>
        </w:rPr>
        <w:t xml:space="preserve"> </w:t>
      </w:r>
      <w:r>
        <w:rPr>
          <w:spacing w:val="2"/>
        </w:rPr>
        <w:t>行选定，委托外部专家的，应对情况予以说明并承担相关责任。</w:t>
      </w:r>
    </w:p>
    <w:p>
      <w:pPr>
        <w:ind w:left="794"/>
        <w:spacing w:before="9" w:line="230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3"/>
        </w:rPr>
        <w:t>(二)定标核查</w:t>
      </w:r>
    </w:p>
    <w:p>
      <w:pPr>
        <w:pStyle w:val="BodyText"/>
        <w:ind w:right="113" w:firstLine="590"/>
        <w:spacing w:before="143" w:line="334" w:lineRule="auto"/>
        <w:jc w:val="both"/>
        <w:rPr/>
      </w:pPr>
      <w:r>
        <w:rPr>
          <w:spacing w:val="28"/>
        </w:rPr>
        <w:t>定标委员会在定标会议前应先对中标候选人进行定标核</w:t>
      </w:r>
      <w:r>
        <w:rPr>
          <w:spacing w:val="16"/>
        </w:rPr>
        <w:t xml:space="preserve"> </w:t>
      </w:r>
      <w:r>
        <w:rPr>
          <w:spacing w:val="12"/>
        </w:rPr>
        <w:t>查。核查内容应在招标文件中予以明确，包括信用信息、履约</w:t>
      </w:r>
      <w:r>
        <w:rPr>
          <w:spacing w:val="11"/>
        </w:rPr>
        <w:t xml:space="preserve"> </w:t>
      </w:r>
      <w:r>
        <w:rPr>
          <w:spacing w:val="12"/>
        </w:rPr>
        <w:t>能力、是否采用考察或质询方式等内容，以及招标人认为需要</w:t>
      </w:r>
      <w:r>
        <w:rPr>
          <w:spacing w:val="9"/>
        </w:rPr>
        <w:t xml:space="preserve"> </w:t>
      </w:r>
      <w:r>
        <w:rPr>
          <w:spacing w:val="13"/>
        </w:rPr>
        <w:t>核查的其他内容。拟进行考察、质询的，应当在招标文件中明</w:t>
      </w:r>
      <w:r>
        <w:rPr/>
        <w:t xml:space="preserve"> </w:t>
      </w:r>
      <w:r>
        <w:rPr>
          <w:spacing w:val="7"/>
        </w:rPr>
        <w:t>确考察或质询内容，并对所有中标候选人进行考察或质询。</w:t>
      </w:r>
    </w:p>
    <w:p>
      <w:pPr>
        <w:pStyle w:val="BodyText"/>
        <w:ind w:firstLine="599"/>
        <w:spacing w:before="30" w:line="331" w:lineRule="auto"/>
        <w:jc w:val="both"/>
        <w:rPr/>
      </w:pPr>
      <w:r>
        <w:rPr>
          <w:spacing w:val="6"/>
        </w:rPr>
        <w:t>定标委员会经核查发现确有弄虚作假、串通投标等情形的，</w:t>
      </w:r>
      <w:r>
        <w:rPr>
          <w:spacing w:val="18"/>
        </w:rPr>
        <w:t xml:space="preserve"> </w:t>
      </w:r>
      <w:r>
        <w:rPr>
          <w:spacing w:val="13"/>
        </w:rPr>
        <w:t>应当否决相应中标候选人的中标资格，及时向行政监</w:t>
      </w:r>
      <w:r>
        <w:rPr>
          <w:spacing w:val="12"/>
        </w:rPr>
        <w:t>督部门报</w:t>
      </w:r>
      <w:r>
        <w:rPr/>
        <w:t xml:space="preserve"> </w:t>
      </w:r>
      <w:r>
        <w:rPr>
          <w:spacing w:val="7"/>
        </w:rPr>
        <w:t>告，并在核查报告中应写明情况。</w:t>
      </w:r>
    </w:p>
    <w:p>
      <w:pPr>
        <w:ind w:left="684"/>
        <w:spacing w:line="225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6"/>
        </w:rPr>
        <w:t>(三)定标因素</w:t>
      </w:r>
    </w:p>
    <w:p>
      <w:pPr>
        <w:pStyle w:val="BodyText"/>
        <w:ind w:right="20" w:firstLine="639"/>
        <w:spacing w:before="178" w:line="334" w:lineRule="auto"/>
        <w:jc w:val="both"/>
        <w:rPr/>
      </w:pPr>
      <w:r>
        <w:rPr>
          <w:spacing w:val="9"/>
        </w:rPr>
        <w:t>招标人可根据工程特点确定定标因素及内容，并在招标文</w:t>
      </w:r>
      <w:r>
        <w:rPr>
          <w:spacing w:val="4"/>
        </w:rPr>
        <w:t xml:space="preserve">  </w:t>
      </w:r>
      <w:r>
        <w:rPr>
          <w:spacing w:val="5"/>
        </w:rPr>
        <w:t>件中明确。定标因素可以参考评标委员会评审意见</w:t>
      </w:r>
      <w:r>
        <w:rPr>
          <w:spacing w:val="4"/>
        </w:rPr>
        <w:t>、核查报告，</w:t>
      </w:r>
      <w:r>
        <w:rPr/>
        <w:t xml:space="preserve"> </w:t>
      </w:r>
      <w:r>
        <w:rPr>
          <w:spacing w:val="9"/>
        </w:rPr>
        <w:t>还可以参考价格因素、企业资质、企业规模、企业信誉、拟派</w:t>
      </w:r>
      <w:r>
        <w:rPr>
          <w:spacing w:val="2"/>
        </w:rPr>
        <w:t xml:space="preserve">  </w:t>
      </w:r>
      <w:r>
        <w:rPr>
          <w:spacing w:val="20"/>
        </w:rPr>
        <w:t>团队管理能力与水平、过往同类工程经验(业绩)等，招标人</w:t>
      </w:r>
      <w:r>
        <w:rPr>
          <w:spacing w:val="9"/>
        </w:rPr>
        <w:t xml:space="preserve">  </w:t>
      </w:r>
      <w:r>
        <w:rPr>
          <w:spacing w:val="9"/>
        </w:rPr>
        <w:t>也可根据工程实际情况设置其他定标因素。此外，不同招标项</w:t>
      </w:r>
      <w:r>
        <w:rPr>
          <w:spacing w:val="4"/>
        </w:rPr>
        <w:t xml:space="preserve">  </w:t>
      </w:r>
      <w:r>
        <w:rPr>
          <w:spacing w:val="2"/>
        </w:rPr>
        <w:t>目择优因素的考虑可以有所侧重：</w:t>
      </w:r>
    </w:p>
    <w:p>
      <w:pPr>
        <w:pStyle w:val="BodyText"/>
        <w:ind w:right="191" w:firstLine="800"/>
        <w:spacing w:before="2" w:line="348" w:lineRule="auto"/>
        <w:jc w:val="both"/>
        <w:rPr>
          <w:sz w:val="27"/>
          <w:szCs w:val="27"/>
        </w:rPr>
      </w:pPr>
      <w:r>
        <w:rPr>
          <w:spacing w:val="28"/>
        </w:rPr>
        <w:t>(一)施工招标：施工组织设计(方案)、技术响应等因</w:t>
      </w:r>
      <w:r>
        <w:rPr>
          <w:spacing w:val="12"/>
        </w:rPr>
        <w:t xml:space="preserve"> </w:t>
      </w:r>
      <w:r>
        <w:rPr>
          <w:spacing w:val="9"/>
        </w:rPr>
        <w:t>素；投标人承诺采用新材料、新设备、新工</w:t>
      </w:r>
      <w:r>
        <w:rPr>
          <w:spacing w:val="8"/>
        </w:rPr>
        <w:t>艺、新技术的可以</w:t>
      </w:r>
      <w:r>
        <w:rPr/>
        <w:t xml:space="preserve"> </w:t>
      </w:r>
      <w:r>
        <w:rPr>
          <w:sz w:val="27"/>
          <w:szCs w:val="27"/>
          <w:spacing w:val="29"/>
        </w:rPr>
        <w:t>优先考虑；</w:t>
      </w:r>
    </w:p>
    <w:p>
      <w:pPr>
        <w:spacing w:line="348" w:lineRule="auto"/>
        <w:sectPr>
          <w:footerReference w:type="default" r:id="rId4"/>
          <w:pgSz w:w="11900" w:h="16830"/>
          <w:pgMar w:top="1430" w:right="1474" w:bottom="1857" w:left="1589" w:header="0" w:footer="1374" w:gutter="0"/>
        </w:sectPr>
        <w:rPr>
          <w:sz w:val="27"/>
          <w:szCs w:val="27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right="193" w:firstLine="790"/>
        <w:spacing w:before="100" w:line="280" w:lineRule="auto"/>
        <w:rPr/>
      </w:pPr>
      <w:r>
        <w:rPr>
          <w:spacing w:val="15"/>
        </w:rPr>
        <w:t>(二)货物招标：性价比、产品先进性、安全性、质量稳</w:t>
      </w:r>
      <w:r>
        <w:rPr>
          <w:spacing w:val="15"/>
        </w:rPr>
        <w:t xml:space="preserve"> </w:t>
      </w:r>
      <w:r>
        <w:rPr>
          <w:spacing w:val="5"/>
        </w:rPr>
        <w:t>定性、质保服务技术指标及商务条款响应等因素；</w:t>
      </w:r>
    </w:p>
    <w:p>
      <w:pPr>
        <w:pStyle w:val="BodyText"/>
        <w:ind w:right="181" w:firstLine="790"/>
        <w:spacing w:before="176" w:line="295" w:lineRule="auto"/>
        <w:rPr/>
      </w:pPr>
      <w:r>
        <w:rPr>
          <w:spacing w:val="16"/>
        </w:rPr>
        <w:t>(三)方案设计招标：充分落实城市设计内容，主要考虑</w:t>
      </w:r>
      <w:r>
        <w:rPr>
          <w:spacing w:val="2"/>
        </w:rPr>
        <w:t xml:space="preserve"> </w:t>
      </w:r>
      <w:r>
        <w:rPr>
          <w:spacing w:val="9"/>
        </w:rPr>
        <w:t>设计创意及理念、设计创新、绿色生态、地域文化、人文特色</w:t>
      </w:r>
      <w:r>
        <w:rPr>
          <w:spacing w:val="16"/>
        </w:rPr>
        <w:t xml:space="preserve"> </w:t>
      </w:r>
      <w:r>
        <w:rPr>
          <w:spacing w:val="6"/>
        </w:rPr>
        <w:t>等因素，同时还应当保证功能结构合理、经济技术可行；</w:t>
      </w:r>
    </w:p>
    <w:p>
      <w:pPr>
        <w:pStyle w:val="BodyText"/>
        <w:ind w:right="192" w:firstLine="790"/>
        <w:spacing w:before="187" w:line="277" w:lineRule="auto"/>
        <w:rPr/>
      </w:pPr>
      <w:r>
        <w:rPr>
          <w:spacing w:val="15"/>
        </w:rPr>
        <w:t>(四)初步设计和施工图设计招标：投标方案经济性、技</w:t>
      </w:r>
      <w:r>
        <w:rPr>
          <w:spacing w:val="16"/>
        </w:rPr>
        <w:t xml:space="preserve"> </w:t>
      </w:r>
      <w:r>
        <w:rPr>
          <w:spacing w:val="6"/>
        </w:rPr>
        <w:t>术可行性、功能结构合理性、设计精细化程度等因素；</w:t>
      </w:r>
    </w:p>
    <w:p>
      <w:pPr>
        <w:pStyle w:val="BodyText"/>
        <w:ind w:right="193" w:firstLine="660"/>
        <w:spacing w:before="203" w:line="333" w:lineRule="auto"/>
        <w:jc w:val="both"/>
        <w:rPr/>
      </w:pPr>
      <w:r>
        <w:rPr>
          <w:spacing w:val="8"/>
        </w:rPr>
        <w:t>同等条件下，招标人可以优先考虑投标人服务便利度、合</w:t>
      </w:r>
      <w:r>
        <w:rPr>
          <w:spacing w:val="5"/>
        </w:rPr>
        <w:t xml:space="preserve"> </w:t>
      </w:r>
      <w:r>
        <w:rPr>
          <w:spacing w:val="9"/>
        </w:rPr>
        <w:t>同稳定性、质量安全保障性、劳资纠纷可控度等因素，方案设</w:t>
      </w:r>
      <w:r>
        <w:rPr>
          <w:spacing w:val="7"/>
        </w:rPr>
        <w:t xml:space="preserve"> </w:t>
      </w:r>
      <w:r>
        <w:rPr>
          <w:spacing w:val="2"/>
        </w:rPr>
        <w:t>计招标除外。</w:t>
      </w:r>
    </w:p>
    <w:p>
      <w:pPr>
        <w:ind w:left="664"/>
        <w:spacing w:line="23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6"/>
        </w:rPr>
        <w:t>(四)定标会议</w:t>
      </w:r>
    </w:p>
    <w:p>
      <w:pPr>
        <w:pStyle w:val="BodyText"/>
        <w:ind w:firstLine="660"/>
        <w:spacing w:before="140" w:line="334" w:lineRule="auto"/>
        <w:jc w:val="both"/>
        <w:rPr/>
      </w:pPr>
      <w:r>
        <w:rPr>
          <w:spacing w:val="15"/>
        </w:rPr>
        <w:t>定标委员会严格按照招标文件规定的定标方法确定1名中</w:t>
      </w:r>
      <w:r>
        <w:rPr>
          <w:spacing w:val="9"/>
        </w:rPr>
        <w:t xml:space="preserve">  </w:t>
      </w:r>
      <w:r>
        <w:rPr>
          <w:spacing w:val="5"/>
        </w:rPr>
        <w:t>标人，定标会议应包括以下内容：宣布定标纪律、</w:t>
      </w:r>
      <w:r>
        <w:rPr>
          <w:spacing w:val="4"/>
        </w:rPr>
        <w:t>规则和流程；</w:t>
      </w:r>
      <w:r>
        <w:rPr/>
        <w:t xml:space="preserve"> </w:t>
      </w:r>
      <w:r>
        <w:rPr>
          <w:spacing w:val="9"/>
        </w:rPr>
        <w:t>介绍项目情况、招标情况、评标情况、对中标候选人的核查情</w:t>
      </w:r>
      <w:r>
        <w:rPr>
          <w:spacing w:val="2"/>
        </w:rPr>
        <w:t xml:space="preserve">  </w:t>
      </w:r>
      <w:r>
        <w:rPr>
          <w:spacing w:val="9"/>
        </w:rPr>
        <w:t>况；定标委员会成员有疑问的，可以向招标人提问，招标人现</w:t>
      </w:r>
      <w:r>
        <w:rPr>
          <w:spacing w:val="3"/>
        </w:rPr>
        <w:t xml:space="preserve">  </w:t>
      </w:r>
      <w:r>
        <w:rPr/>
        <w:t>场作出答复，答复的信息不得有倾向性意见；定标委员会按照招</w:t>
      </w:r>
      <w:r>
        <w:rPr>
          <w:spacing w:val="10"/>
        </w:rPr>
        <w:t xml:space="preserve"> </w:t>
      </w:r>
      <w:r>
        <w:rPr>
          <w:spacing w:val="9"/>
        </w:rPr>
        <w:t>标文件中规定的定标方法和程序进行定标活动，并形成全过程</w:t>
      </w:r>
      <w:r>
        <w:rPr>
          <w:spacing w:val="4"/>
        </w:rPr>
        <w:t xml:space="preserve">  </w:t>
      </w:r>
      <w:r>
        <w:rPr>
          <w:spacing w:val="4"/>
        </w:rPr>
        <w:t>书面记录、定标报告。</w:t>
      </w:r>
    </w:p>
    <w:p>
      <w:pPr>
        <w:pStyle w:val="BodyText"/>
        <w:ind w:right="175" w:firstLine="660"/>
        <w:spacing w:before="29" w:line="345" w:lineRule="auto"/>
        <w:jc w:val="both"/>
        <w:rPr>
          <w:sz w:val="26"/>
          <w:szCs w:val="26"/>
        </w:rPr>
      </w:pPr>
      <w:r>
        <w:rPr>
          <w:spacing w:val="8"/>
        </w:rPr>
        <w:t>采用核查随机法的项目，招标人应当鼓励中标候选人的法</w:t>
      </w:r>
      <w:r>
        <w:rPr>
          <w:spacing w:val="9"/>
        </w:rPr>
        <w:t xml:space="preserve"> </w:t>
      </w:r>
      <w:r>
        <w:rPr>
          <w:spacing w:val="9"/>
        </w:rPr>
        <w:t>定代表人或其授权委托代理人现场参加定标会议。未派人员参</w:t>
      </w:r>
      <w:r>
        <w:rPr>
          <w:spacing w:val="10"/>
        </w:rPr>
        <w:t xml:space="preserve"> </w:t>
      </w:r>
      <w:r>
        <w:rPr>
          <w:spacing w:val="10"/>
        </w:rPr>
        <w:t>加定标会议的中标候选人，定标委员会不得否决其中标候</w:t>
      </w:r>
      <w:r>
        <w:rPr>
          <w:spacing w:val="9"/>
        </w:rPr>
        <w:t>选人</w:t>
      </w:r>
      <w:r>
        <w:rPr/>
        <w:t xml:space="preserve"> </w:t>
      </w:r>
      <w:r>
        <w:rPr>
          <w:sz w:val="26"/>
          <w:szCs w:val="26"/>
          <w:spacing w:val="-16"/>
        </w:rPr>
        <w:t>资</w:t>
      </w:r>
      <w:r>
        <w:rPr>
          <w:sz w:val="26"/>
          <w:szCs w:val="26"/>
          <w:spacing w:val="-26"/>
        </w:rPr>
        <w:t xml:space="preserve"> </w:t>
      </w:r>
      <w:r>
        <w:rPr>
          <w:sz w:val="26"/>
          <w:szCs w:val="26"/>
          <w:spacing w:val="-16"/>
        </w:rPr>
        <w:t>格</w:t>
      </w:r>
      <w:r>
        <w:rPr>
          <w:sz w:val="26"/>
          <w:szCs w:val="26"/>
          <w:spacing w:val="-43"/>
        </w:rPr>
        <w:t xml:space="preserve"> </w:t>
      </w:r>
      <w:r>
        <w:rPr>
          <w:sz w:val="26"/>
          <w:szCs w:val="26"/>
          <w:spacing w:val="-16"/>
        </w:rPr>
        <w:t>。</w:t>
      </w:r>
    </w:p>
    <w:p>
      <w:pPr>
        <w:spacing w:line="345" w:lineRule="auto"/>
        <w:sectPr>
          <w:footerReference w:type="default" r:id="rId5"/>
          <w:pgSz w:w="11900" w:h="16830"/>
          <w:pgMar w:top="1430" w:right="1494" w:bottom="1867" w:left="1589" w:header="0" w:footer="1387" w:gutter="0"/>
        </w:sectPr>
        <w:rPr>
          <w:sz w:val="26"/>
          <w:szCs w:val="26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34"/>
        <w:spacing w:before="10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七、监督与管理</w:t>
      </w:r>
    </w:p>
    <w:p>
      <w:pPr>
        <w:pStyle w:val="BodyText"/>
        <w:ind w:right="194" w:firstLine="800"/>
        <w:spacing w:before="182" w:line="301" w:lineRule="auto"/>
        <w:rPr/>
      </w:pPr>
      <w:r>
        <w:rPr>
          <w:rFonts w:ascii="KaiTi" w:hAnsi="KaiTi" w:eastAsia="KaiTi" w:cs="KaiTi"/>
          <w:spacing w:val="8"/>
        </w:rPr>
        <w:t>(一)加强内控制度建设。</w:t>
      </w:r>
      <w:r>
        <w:rPr>
          <w:rFonts w:ascii="KaiTi" w:hAnsi="KaiTi" w:eastAsia="KaiTi" w:cs="KaiTi"/>
          <w:spacing w:val="8"/>
        </w:rPr>
        <w:t xml:space="preserve"> </w:t>
      </w:r>
      <w:r>
        <w:rPr>
          <w:spacing w:val="8"/>
        </w:rPr>
        <w:t>招标人要强化责任意识、法治</w:t>
      </w:r>
      <w:r>
        <w:rPr>
          <w:spacing w:val="16"/>
        </w:rPr>
        <w:t xml:space="preserve"> </w:t>
      </w:r>
      <w:r>
        <w:rPr>
          <w:spacing w:val="9"/>
        </w:rPr>
        <w:t>意识、廉洁意识，将“评定分离”纳入本单位“三</w:t>
      </w:r>
      <w:r>
        <w:rPr>
          <w:spacing w:val="8"/>
        </w:rPr>
        <w:t>重一大”审</w:t>
      </w:r>
      <w:r>
        <w:rPr/>
        <w:t xml:space="preserve"> </w:t>
      </w:r>
      <w:r>
        <w:rPr>
          <w:spacing w:val="9"/>
        </w:rPr>
        <w:t>议事项范围，对整个招标和定标过程负责，并主动接受纪检监</w:t>
      </w:r>
      <w:r>
        <w:rPr>
          <w:spacing w:val="6"/>
        </w:rPr>
        <w:t xml:space="preserve"> </w:t>
      </w:r>
      <w:r>
        <w:rPr>
          <w:spacing w:val="4"/>
        </w:rPr>
        <w:t>察、审计等部门的监督。</w:t>
      </w:r>
    </w:p>
    <w:p>
      <w:pPr>
        <w:pStyle w:val="BodyText"/>
        <w:ind w:right="179" w:firstLine="800"/>
        <w:spacing w:before="201" w:line="311" w:lineRule="auto"/>
        <w:rPr/>
      </w:pPr>
      <w:r>
        <w:rPr>
          <w:rFonts w:ascii="KaiTi" w:hAnsi="KaiTi" w:eastAsia="KaiTi" w:cs="KaiTi"/>
          <w:spacing w:val="14"/>
        </w:rPr>
        <w:t>(二)加强评定分离监管</w:t>
      </w:r>
      <w:r>
        <w:rPr>
          <w:spacing w:val="14"/>
        </w:rPr>
        <w:t>。招标人应加强对相关人员的廉</w:t>
      </w:r>
      <w:r>
        <w:rPr>
          <w:spacing w:val="8"/>
        </w:rPr>
        <w:t xml:space="preserve"> </w:t>
      </w:r>
      <w:r>
        <w:rPr>
          <w:spacing w:val="10"/>
        </w:rPr>
        <w:t>政和保密教育，明确定标委员会成员应当遵守</w:t>
      </w:r>
      <w:r>
        <w:rPr>
          <w:spacing w:val="9"/>
        </w:rPr>
        <w:t>职业道德，保守</w:t>
      </w:r>
      <w:r>
        <w:rPr/>
        <w:t xml:space="preserve"> </w:t>
      </w:r>
      <w:r>
        <w:rPr>
          <w:spacing w:val="9"/>
        </w:rPr>
        <w:t>工作秘密，客观、公正地履行职责，对所提出的定标意见承担</w:t>
      </w:r>
      <w:r>
        <w:rPr>
          <w:spacing w:val="5"/>
        </w:rPr>
        <w:t xml:space="preserve"> </w:t>
      </w:r>
      <w:r>
        <w:rPr>
          <w:spacing w:val="7"/>
        </w:rPr>
        <w:t>责任。招标人内部监督人员要加强对定标全过程监督和管理，</w:t>
      </w:r>
      <w:r>
        <w:rPr>
          <w:spacing w:val="5"/>
        </w:rPr>
        <w:t xml:space="preserve"> </w:t>
      </w:r>
      <w:r>
        <w:rPr>
          <w:spacing w:val="6"/>
        </w:rPr>
        <w:t>监督工作完成后应在定标报告上签字。</w:t>
      </w:r>
    </w:p>
    <w:p>
      <w:pPr>
        <w:pStyle w:val="BodyText"/>
        <w:ind w:right="195" w:firstLine="800"/>
        <w:spacing w:before="201" w:line="275" w:lineRule="auto"/>
        <w:rPr/>
      </w:pPr>
      <w:r>
        <w:rPr>
          <w:spacing w:val="15"/>
        </w:rPr>
        <w:t>(三)加强招标档案管理</w:t>
      </w:r>
      <w:r>
        <w:rPr>
          <w:rFonts w:ascii="KaiTi" w:hAnsi="KaiTi" w:eastAsia="KaiTi" w:cs="KaiTi"/>
          <w:spacing w:val="15"/>
        </w:rPr>
        <w:t>。</w:t>
      </w:r>
      <w:r>
        <w:rPr>
          <w:spacing w:val="15"/>
        </w:rPr>
        <w:t>招标人应将定标活动资料纳入</w:t>
      </w:r>
      <w:r>
        <w:rPr>
          <w:spacing w:val="3"/>
        </w:rPr>
        <w:t xml:space="preserve"> </w:t>
      </w:r>
      <w:r>
        <w:rPr>
          <w:spacing w:val="7"/>
        </w:rPr>
        <w:t>招标投标情况书面报告，向行政监督部门备案。</w:t>
      </w:r>
    </w:p>
    <w:p>
      <w:pPr>
        <w:ind w:left="634"/>
        <w:spacing w:before="209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八、其他</w:t>
      </w:r>
    </w:p>
    <w:p>
      <w:pPr>
        <w:pStyle w:val="BodyText"/>
        <w:ind w:firstLine="800"/>
        <w:spacing w:before="177" w:line="336" w:lineRule="auto"/>
        <w:rPr/>
      </w:pPr>
      <w:r>
        <w:rPr>
          <w:spacing w:val="10"/>
        </w:rPr>
        <w:t>本指引由郑州市城乡建设局负责解释，自印发之日起施</w:t>
      </w:r>
      <w:r>
        <w:rPr>
          <w:spacing w:val="1"/>
        </w:rPr>
        <w:t xml:space="preserve">   </w:t>
      </w:r>
      <w:r>
        <w:rPr>
          <w:spacing w:val="10"/>
        </w:rPr>
        <w:t>行，有效期为2年，在执行过程中若国家、省、市另有规定的，</w:t>
      </w:r>
      <w:r>
        <w:rPr>
          <w:spacing w:val="8"/>
        </w:rPr>
        <w:t xml:space="preserve"> </w:t>
      </w:r>
      <w:r>
        <w:rPr>
          <w:spacing w:val="6"/>
        </w:rPr>
        <w:t>从其规定。</w:t>
      </w:r>
    </w:p>
    <w:p>
      <w:pPr>
        <w:pStyle w:val="BodyText"/>
        <w:ind w:left="629"/>
        <w:spacing w:line="222" w:lineRule="auto"/>
        <w:rPr/>
      </w:pPr>
      <w:r>
        <w:rPr>
          <w:spacing w:val="19"/>
        </w:rPr>
        <w:t>附件：1.招标文件公平竞争审查自查表(示例)</w:t>
      </w:r>
    </w:p>
    <w:p>
      <w:pPr>
        <w:pStyle w:val="BodyText"/>
        <w:ind w:left="1280"/>
        <w:spacing w:before="168" w:line="222" w:lineRule="auto"/>
        <w:rPr/>
      </w:pPr>
      <w:r>
        <w:rPr>
          <w:rFonts w:ascii="SimSun" w:hAnsi="SimSun" w:eastAsia="SimSun" w:cs="SimSun"/>
          <w:spacing w:val="21"/>
        </w:rPr>
        <w:t>2.</w:t>
      </w:r>
      <w:r>
        <w:rPr>
          <w:spacing w:val="21"/>
        </w:rPr>
        <w:t>定标委员会组建情况登记表(示例)</w:t>
      </w:r>
    </w:p>
    <w:p>
      <w:pPr>
        <w:pStyle w:val="BodyText"/>
        <w:ind w:left="1280"/>
        <w:spacing w:before="188" w:line="223" w:lineRule="auto"/>
        <w:rPr/>
      </w:pPr>
      <w:r>
        <w:rPr>
          <w:rFonts w:ascii="SimSun" w:hAnsi="SimSun" w:eastAsia="SimSun" w:cs="SimSun"/>
          <w:spacing w:val="32"/>
        </w:rPr>
        <w:t>3.</w:t>
      </w:r>
      <w:r>
        <w:rPr>
          <w:spacing w:val="32"/>
        </w:rPr>
        <w:t>承诺书(示例)</w:t>
      </w:r>
    </w:p>
    <w:p>
      <w:pPr>
        <w:pStyle w:val="BodyText"/>
        <w:ind w:left="1280"/>
        <w:spacing w:before="194" w:line="222" w:lineRule="auto"/>
        <w:rPr/>
      </w:pPr>
      <w:r>
        <w:rPr>
          <w:rFonts w:ascii="SimSun" w:hAnsi="SimSun" w:eastAsia="SimSun" w:cs="SimSun"/>
          <w:spacing w:val="28"/>
        </w:rPr>
        <w:t>4.</w:t>
      </w:r>
      <w:r>
        <w:rPr>
          <w:spacing w:val="28"/>
        </w:rPr>
        <w:t>定标报告(示例)</w:t>
      </w:r>
    </w:p>
    <w:p>
      <w:pPr>
        <w:spacing w:line="222" w:lineRule="auto"/>
        <w:sectPr>
          <w:footerReference w:type="default" r:id="rId6"/>
          <w:pgSz w:w="11900" w:h="16830"/>
          <w:pgMar w:top="1430" w:right="1505" w:bottom="1771" w:left="1579" w:header="0" w:footer="1536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29"/>
        <w:spacing w:before="104" w:line="19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1"/>
        </w:rPr>
        <w:t>附件1</w:t>
      </w:r>
    </w:p>
    <w:p>
      <w:pPr>
        <w:ind w:left="1100"/>
        <w:spacing w:before="1" w:line="186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</w:rPr>
        <w:t>招标文件公平竞争审查自查表(示例)</w:t>
      </w:r>
    </w:p>
    <w:tbl>
      <w:tblPr>
        <w:tblStyle w:val="TableNormal"/>
        <w:tblW w:w="8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54"/>
        <w:gridCol w:w="3166"/>
        <w:gridCol w:w="3406"/>
        <w:gridCol w:w="1203"/>
      </w:tblGrid>
      <w:tr>
        <w:trPr>
          <w:trHeight w:val="325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205"/>
              <w:spacing w:before="73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777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205"/>
              <w:spacing w:before="78" w:line="220" w:lineRule="auto"/>
              <w:rPr/>
            </w:pPr>
            <w:r>
              <w:rPr>
                <w:spacing w:val="-2"/>
              </w:rPr>
              <w:t>标段名称</w:t>
            </w:r>
          </w:p>
        </w:tc>
        <w:tc>
          <w:tcPr>
            <w:tcW w:w="777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294"/>
              <w:spacing w:before="68" w:line="220" w:lineRule="auto"/>
              <w:rPr/>
            </w:pPr>
            <w:r>
              <w:rPr>
                <w:spacing w:val="-2"/>
              </w:rPr>
              <w:t>招标人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6" w:type="dxa"/>
            <w:vAlign w:val="top"/>
          </w:tcPr>
          <w:p>
            <w:pPr>
              <w:pStyle w:val="TableText"/>
              <w:ind w:left="975"/>
              <w:spacing w:before="69" w:line="221" w:lineRule="auto"/>
              <w:rPr/>
            </w:pPr>
            <w:r>
              <w:rPr>
                <w:spacing w:val="-1"/>
              </w:rPr>
              <w:t>联系人及联系电话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205"/>
              <w:spacing w:before="66" w:line="219" w:lineRule="auto"/>
              <w:rPr/>
            </w:pPr>
            <w:r>
              <w:rPr>
                <w:spacing w:val="-2"/>
              </w:rPr>
              <w:t>代理机构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6" w:type="dxa"/>
            <w:vAlign w:val="top"/>
          </w:tcPr>
          <w:p>
            <w:pPr>
              <w:pStyle w:val="TableText"/>
              <w:ind w:left="975"/>
              <w:spacing w:before="69" w:line="221" w:lineRule="auto"/>
              <w:rPr/>
            </w:pPr>
            <w:r>
              <w:rPr>
                <w:spacing w:val="-1"/>
              </w:rPr>
              <w:t>联系人及联系电话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38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2921"/>
              <w:spacing w:before="57" w:line="219" w:lineRule="auto"/>
              <w:rPr/>
            </w:pPr>
            <w:r>
              <w:rPr>
                <w:spacing w:val="-2"/>
              </w:rPr>
              <w:t>条款内容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239"/>
              <w:spacing w:before="58" w:line="220" w:lineRule="auto"/>
              <w:rPr/>
            </w:pPr>
            <w:r>
              <w:rPr>
                <w:spacing w:val="2"/>
              </w:rPr>
              <w:t>审查结果</w:t>
            </w:r>
          </w:p>
        </w:tc>
      </w:tr>
      <w:tr>
        <w:trPr>
          <w:trHeight w:val="64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25"/>
              <w:spacing w:before="255" w:line="241" w:lineRule="auto"/>
              <w:rPr/>
            </w:pPr>
            <w:r>
              <w:rPr>
                <w:color w:val="505050"/>
              </w:rPr>
              <w:t>1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21" w:right="140" w:firstLine="9"/>
              <w:spacing w:before="87" w:line="283" w:lineRule="auto"/>
              <w:rPr/>
            </w:pPr>
            <w:r>
              <w:rPr/>
              <w:t>设量限制、排斥不同所有制企业参与招投标的规定，以</w:t>
            </w:r>
            <w:r>
              <w:rPr>
                <w:spacing w:val="-1"/>
              </w:rPr>
              <w:t>及虽然没有直接限制、排</w:t>
            </w:r>
            <w:r>
              <w:rPr/>
              <w:t xml:space="preserve"> </w:t>
            </w:r>
            <w:r>
              <w:rPr/>
              <w:t>斥，但实质上起到变相限制、排斥效果的规</w:t>
            </w:r>
            <w:r>
              <w:rPr>
                <w:spacing w:val="-1"/>
              </w:rPr>
              <w:t>定。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237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63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25"/>
              <w:spacing w:before="246" w:line="241" w:lineRule="auto"/>
              <w:rPr/>
            </w:pPr>
            <w:r>
              <w:rPr>
                <w:color w:val="506050"/>
              </w:rPr>
              <w:t>2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11" w:right="115" w:firstLine="19"/>
              <w:spacing w:before="79" w:line="282" w:lineRule="auto"/>
              <w:rPr/>
            </w:pPr>
            <w:r>
              <w:rPr/>
              <w:t>限定潜在投标人或者投标人的所在地、所有制形式或者组织形式，对不同所有制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投标人采取不同的资格审查标准。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229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959" w:hRule="atLeast"/>
        </w:trPr>
        <w:tc>
          <w:tcPr>
            <w:tcW w:w="11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58"/>
              <w:rPr/>
            </w:pPr>
            <w:r>
              <w:rPr/>
              <w:t>3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40" w:right="48" w:firstLine="90"/>
              <w:spacing w:before="80" w:line="297" w:lineRule="auto"/>
              <w:jc w:val="both"/>
              <w:rPr/>
            </w:pPr>
            <w:r>
              <w:rPr/>
              <w:t>设定企业股东背景、年平均承接项目数量或者金额、从业人员、纳税额、营业场</w:t>
            </w:r>
            <w:r>
              <w:rPr>
                <w:spacing w:val="5"/>
              </w:rPr>
              <w:t xml:space="preserve">  </w:t>
            </w:r>
            <w:r>
              <w:rPr/>
              <w:t>所面积等规模条件；设置超过项目实际需要的企业注册资本、</w:t>
            </w:r>
            <w:r>
              <w:rPr>
                <w:spacing w:val="-1"/>
              </w:rPr>
              <w:t>资产总额、净资产规</w:t>
            </w:r>
            <w:r>
              <w:rPr/>
              <w:t xml:space="preserve"> </w:t>
            </w:r>
            <w:r>
              <w:rPr>
                <w:spacing w:val="3"/>
              </w:rPr>
              <w:t>模、营业收入、利澜、授信额度等财务指标。</w:t>
            </w:r>
          </w:p>
        </w:tc>
        <w:tc>
          <w:tcPr>
            <w:tcW w:w="120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58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63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25"/>
              <w:spacing w:before="248" w:line="241" w:lineRule="auto"/>
              <w:rPr/>
            </w:pPr>
            <w:r>
              <w:rPr>
                <w:color w:val="506060"/>
              </w:rPr>
              <w:t>4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01" w:right="140" w:firstLine="29"/>
              <w:spacing w:before="81" w:line="281" w:lineRule="auto"/>
              <w:rPr/>
            </w:pPr>
            <w:r>
              <w:rPr/>
              <w:t>设定明显超出招标项目具体特点和实际需要的过高的资</w:t>
            </w:r>
            <w:r>
              <w:rPr>
                <w:spacing w:val="-1"/>
              </w:rPr>
              <w:t>质资格、技术、商务条件</w:t>
            </w:r>
            <w:r>
              <w:rPr/>
              <w:t xml:space="preserve"> </w:t>
            </w:r>
            <w:r>
              <w:rPr/>
              <w:t>或者业绩、奖项要求。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230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959" w:hRule="atLeast"/>
        </w:trPr>
        <w:tc>
          <w:tcPr>
            <w:tcW w:w="115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58"/>
              <w:rPr/>
            </w:pPr>
            <w:r>
              <w:rPr/>
              <w:t>5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40"/>
              <w:spacing w:before="71" w:line="300" w:lineRule="auto"/>
              <w:jc w:val="both"/>
              <w:rPr/>
            </w:pPr>
            <w:r>
              <w:rPr>
                <w:spacing w:val="-2"/>
              </w:rPr>
              <w:t>将国家已经明令取消的资质资格作为投标条件、加分条件、中标条件；在国家已经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明令取消资质资格的领域，将其他资质资格作为投标条件、加分条件、中标条件；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将外地企业与本地企业组成联合体作为投标条件、加分条件、中标条件。</w:t>
            </w:r>
          </w:p>
        </w:tc>
        <w:tc>
          <w:tcPr>
            <w:tcW w:w="120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0" w:lineRule="auto"/>
              <w:rPr/>
            </w:pPr>
            <w:r>
              <w:rPr>
                <w:spacing w:val="-15"/>
              </w:rP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20"/>
              </w:rPr>
              <w:t xml:space="preserve"> </w:t>
            </w:r>
            <w:r>
              <w:rPr>
                <w:spacing w:val="-15"/>
              </w:rPr>
              <w:t>□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无</w:t>
            </w:r>
          </w:p>
        </w:tc>
      </w:tr>
      <w:tr>
        <w:trPr>
          <w:trHeight w:val="1299" w:hRule="atLeast"/>
        </w:trPr>
        <w:tc>
          <w:tcPr>
            <w:tcW w:w="11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58"/>
              <w:rPr/>
            </w:pPr>
            <w:r>
              <w:rPr>
                <w:color w:val="608080"/>
              </w:rPr>
              <w:t>6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40" w:firstLine="89"/>
              <w:spacing w:before="82" w:line="319" w:lineRule="auto"/>
              <w:rPr/>
            </w:pPr>
            <w:r>
              <w:rPr>
                <w:spacing w:val="-2"/>
              </w:rPr>
              <w:t>将特定行政区城、特定行业的业绩、奖项作为投标条件、加分条件、中标条件或</w:t>
            </w:r>
            <w:r>
              <w:rPr>
                <w:spacing w:val="5"/>
              </w:rPr>
              <w:t xml:space="preserve">   </w:t>
            </w:r>
            <w:r>
              <w:rPr>
                <w:spacing w:val="1"/>
              </w:rPr>
              <w:t>在采用通用技术标准的一般项目中设量资质、业绩、奖项等加分项；将政府部门、</w:t>
            </w:r>
          </w:p>
          <w:p>
            <w:pPr>
              <w:pStyle w:val="TableText"/>
              <w:ind w:left="121" w:right="140" w:firstLine="9"/>
              <w:spacing w:before="26" w:line="286" w:lineRule="auto"/>
              <w:rPr/>
            </w:pPr>
            <w:r>
              <w:rPr/>
              <w:t>行业协会商会或者其他机构对投标人作出的茉誉奖励和</w:t>
            </w:r>
            <w:r>
              <w:rPr>
                <w:spacing w:val="-1"/>
              </w:rPr>
              <w:t>慈善公益证明等作为投标</w:t>
            </w:r>
            <w:r>
              <w:rPr/>
              <w:t xml:space="preserve"> </w:t>
            </w:r>
            <w:r>
              <w:rPr>
                <w:spacing w:val="-1"/>
              </w:rPr>
              <w:t>条件、中标条件。</w:t>
            </w:r>
          </w:p>
        </w:tc>
        <w:tc>
          <w:tcPr>
            <w:tcW w:w="12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0" w:lineRule="auto"/>
              <w:rPr/>
            </w:pPr>
            <w:r>
              <w:rPr>
                <w:spacing w:val="-15"/>
              </w:rP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20"/>
              </w:rPr>
              <w:t xml:space="preserve"> </w:t>
            </w:r>
            <w:r>
              <w:rPr>
                <w:spacing w:val="-15"/>
              </w:rPr>
              <w:t>□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无</w:t>
            </w:r>
          </w:p>
        </w:tc>
      </w:tr>
      <w:tr>
        <w:trPr>
          <w:trHeight w:val="62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25"/>
              <w:spacing w:before="251"/>
              <w:rPr/>
            </w:pPr>
            <w:r>
              <w:rPr/>
              <w:t>7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01" w:hanging="90"/>
              <w:spacing w:before="73" w:line="280" w:lineRule="auto"/>
              <w:rPr/>
            </w:pPr>
            <w:r>
              <w:rPr>
                <w:spacing w:val="-1"/>
              </w:rPr>
              <w:t>限定或者指定特定的专利、商标、品牌、原产地、供应商或者检验检测认证机构(法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佛法规有明确要求的除外).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234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62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25"/>
              <w:spacing w:before="251"/>
              <w:rPr/>
            </w:pPr>
            <w:r>
              <w:rPr/>
              <w:t>8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01" w:right="138" w:firstLine="29"/>
              <w:spacing w:before="73" w:line="280" w:lineRule="auto"/>
              <w:rPr/>
            </w:pPr>
            <w:r>
              <w:rPr/>
              <w:t>要求投标人在本地注册设立子公司、分公司、分支机构，在</w:t>
            </w:r>
            <w:r>
              <w:rPr>
                <w:spacing w:val="-1"/>
              </w:rPr>
              <w:t>本地拥有一定办公面</w:t>
            </w:r>
            <w:r>
              <w:rPr/>
              <w:t xml:space="preserve"> </w:t>
            </w:r>
            <w:r>
              <w:rPr>
                <w:spacing w:val="4"/>
              </w:rPr>
              <w:t>积，在本地缴纳社会保险、纳税等.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234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659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525"/>
              <w:spacing w:before="263"/>
              <w:rPr/>
            </w:pPr>
            <w:r>
              <w:rPr/>
              <w:t>9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21" w:right="117" w:firstLine="9"/>
              <w:spacing w:before="93" w:line="285" w:lineRule="auto"/>
              <w:rPr/>
            </w:pPr>
            <w:r>
              <w:rPr/>
              <w:t>简单以注册人员、业绩数量等规模条件或者特定行政区域的业绩奖项评价企业的</w:t>
            </w:r>
            <w:r>
              <w:rPr>
                <w:spacing w:val="12"/>
              </w:rPr>
              <w:t xml:space="preserve"> </w:t>
            </w:r>
            <w:r>
              <w:rPr/>
              <w:t>信用等级，或者设置对不同所有制企业构成歧视的信用评价指</w:t>
            </w:r>
            <w:r>
              <w:rPr>
                <w:spacing w:val="-1"/>
              </w:rPr>
              <w:t>标。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246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729" w:hRule="atLeast"/>
        </w:trPr>
        <w:tc>
          <w:tcPr>
            <w:tcW w:w="115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01" w:right="137" w:firstLine="29"/>
              <w:spacing w:before="116" w:line="309" w:lineRule="auto"/>
              <w:rPr/>
            </w:pPr>
            <w:r>
              <w:rPr/>
              <w:t>通过设量不合理的项目库、名录库、备选库、资格库等条件</w:t>
            </w:r>
            <w:r>
              <w:rPr>
                <w:spacing w:val="-1"/>
              </w:rPr>
              <w:t>，排斥或限制潜在经</w:t>
            </w:r>
            <w:r>
              <w:rPr/>
              <w:t xml:space="preserve"> </w:t>
            </w:r>
            <w:r>
              <w:rPr/>
              <w:t>营者提供商品和服务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287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300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475"/>
              <w:spacing w:before="85" w:line="210" w:lineRule="auto"/>
              <w:rPr/>
            </w:pPr>
            <w:r>
              <w:rPr>
                <w:color w:val="505060"/>
                <w:spacing w:val="-6"/>
              </w:rPr>
              <w:t>11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11"/>
              <w:spacing w:before="68" w:line="220" w:lineRule="auto"/>
              <w:rPr/>
            </w:pPr>
            <w:r>
              <w:rPr>
                <w:spacing w:val="-1"/>
              </w:rPr>
              <w:t>其他不合理限制和壁垒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68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320" w:hRule="atLeast"/>
        </w:trPr>
        <w:tc>
          <w:tcPr>
            <w:tcW w:w="1154" w:type="dxa"/>
            <w:vAlign w:val="top"/>
          </w:tcPr>
          <w:p>
            <w:pPr>
              <w:pStyle w:val="TableText"/>
              <w:ind w:left="475"/>
              <w:spacing w:before="95" w:line="220" w:lineRule="auto"/>
              <w:rPr/>
            </w:pPr>
            <w:r>
              <w:rPr>
                <w:color w:val="304040"/>
                <w:spacing w:val="-6"/>
              </w:rPr>
              <w:t>12</w:t>
            </w:r>
          </w:p>
        </w:tc>
        <w:tc>
          <w:tcPr>
            <w:tcW w:w="6572" w:type="dxa"/>
            <w:vAlign w:val="top"/>
            <w:gridSpan w:val="2"/>
          </w:tcPr>
          <w:p>
            <w:pPr>
              <w:pStyle w:val="TableText"/>
              <w:ind w:left="111"/>
              <w:spacing w:before="77" w:line="219" w:lineRule="auto"/>
              <w:rPr/>
            </w:pPr>
            <w:r>
              <w:rPr/>
              <w:t>是否属于《公平竞争审查制度实施细则》例外规定。</w:t>
            </w:r>
          </w:p>
        </w:tc>
        <w:tc>
          <w:tcPr>
            <w:tcW w:w="1203" w:type="dxa"/>
            <w:vAlign w:val="top"/>
          </w:tcPr>
          <w:p>
            <w:pPr>
              <w:pStyle w:val="TableText"/>
              <w:ind w:left="139"/>
              <w:spacing w:before="77" w:line="220" w:lineRule="auto"/>
              <w:rPr/>
            </w:pPr>
            <w:r>
              <w:rPr>
                <w:spacing w:val="-12"/>
              </w:rPr>
              <w:t>□ 有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□ 无</w:t>
            </w:r>
          </w:p>
        </w:tc>
      </w:tr>
      <w:tr>
        <w:trPr>
          <w:trHeight w:val="1284" w:hRule="atLeast"/>
        </w:trPr>
        <w:tc>
          <w:tcPr>
            <w:tcW w:w="8929" w:type="dxa"/>
            <w:vAlign w:val="top"/>
            <w:gridSpan w:val="4"/>
          </w:tcPr>
          <w:p>
            <w:pPr>
              <w:pStyle w:val="TableText"/>
              <w:ind w:left="118" w:right="270" w:hanging="100"/>
              <w:spacing w:before="35" w:line="24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招标人审查意见：经审查，本项目招标文件不存在影响市场主体公平竞争条款，符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合现行法律、法规等公平竞争审查相关规定。</w:t>
            </w:r>
          </w:p>
          <w:p>
            <w:pPr>
              <w:pStyle w:val="TableText"/>
              <w:ind w:left="7348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5"/>
              </w:rPr>
              <w:t>(单位签章)</w:t>
            </w:r>
          </w:p>
          <w:p>
            <w:pPr>
              <w:pStyle w:val="TableText"/>
              <w:ind w:left="7328"/>
              <w:spacing w:before="2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2"/>
              </w:rPr>
              <w:t>年</w:t>
            </w:r>
            <w:r>
              <w:rPr>
                <w:sz w:val="24"/>
                <w:szCs w:val="24"/>
                <w:spacing w:val="25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-12"/>
              </w:rPr>
              <w:t>月</w:t>
            </w:r>
            <w:r>
              <w:rPr>
                <w:sz w:val="24"/>
                <w:szCs w:val="24"/>
                <w:spacing w:val="42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30"/>
          <w:pgMar w:top="1430" w:right="1395" w:bottom="1867" w:left="1564" w:header="0" w:footer="13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9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6"/>
        </w:rPr>
        <w:t>附件2</w:t>
      </w:r>
    </w:p>
    <w:p>
      <w:pPr>
        <w:ind w:left="1031"/>
        <w:spacing w:before="67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6"/>
        </w:rPr>
        <w:t>定标委员会组建情况登记表(示例)</w:t>
      </w:r>
    </w:p>
    <w:p>
      <w:pPr>
        <w:spacing w:before="21"/>
        <w:rPr/>
      </w:pPr>
      <w:r/>
    </w:p>
    <w:p>
      <w:pPr>
        <w:spacing w:before="20"/>
        <w:rPr/>
      </w:pPr>
      <w:r/>
    </w:p>
    <w:tbl>
      <w:tblPr>
        <w:tblStyle w:val="TableNormal"/>
        <w:tblW w:w="90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1209"/>
        <w:gridCol w:w="2357"/>
        <w:gridCol w:w="1508"/>
        <w:gridCol w:w="1628"/>
        <w:gridCol w:w="1593"/>
      </w:tblGrid>
      <w:tr>
        <w:trPr>
          <w:trHeight w:val="514" w:hRule="atLeast"/>
        </w:trPr>
        <w:tc>
          <w:tcPr>
            <w:tcW w:w="1993" w:type="dxa"/>
            <w:vAlign w:val="top"/>
            <w:gridSpan w:val="2"/>
          </w:tcPr>
          <w:p>
            <w:pPr>
              <w:pStyle w:val="TableText"/>
              <w:ind w:left="624"/>
              <w:spacing w:before="18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招标人</w:t>
            </w:r>
          </w:p>
        </w:tc>
        <w:tc>
          <w:tcPr>
            <w:tcW w:w="70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993" w:type="dxa"/>
            <w:vAlign w:val="top"/>
            <w:gridSpan w:val="2"/>
          </w:tcPr>
          <w:p>
            <w:pPr>
              <w:pStyle w:val="TableText"/>
              <w:ind w:left="265"/>
              <w:spacing w:before="17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招标代理机构</w:t>
            </w:r>
          </w:p>
        </w:tc>
        <w:tc>
          <w:tcPr>
            <w:tcW w:w="70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993" w:type="dxa"/>
            <w:vAlign w:val="top"/>
            <w:gridSpan w:val="2"/>
          </w:tcPr>
          <w:p>
            <w:pPr>
              <w:pStyle w:val="TableText"/>
              <w:ind w:left="265"/>
              <w:spacing w:before="18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招标项目名称</w:t>
            </w:r>
          </w:p>
        </w:tc>
        <w:tc>
          <w:tcPr>
            <w:tcW w:w="70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1993" w:type="dxa"/>
            <w:vAlign w:val="top"/>
            <w:gridSpan w:val="2"/>
          </w:tcPr>
          <w:p>
            <w:pPr>
              <w:pStyle w:val="TableText"/>
              <w:ind w:left="504"/>
              <w:spacing w:before="18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定标时间</w:t>
            </w:r>
          </w:p>
        </w:tc>
        <w:tc>
          <w:tcPr>
            <w:tcW w:w="70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993" w:type="dxa"/>
            <w:vAlign w:val="top"/>
            <w:gridSpan w:val="2"/>
          </w:tcPr>
          <w:p>
            <w:pPr>
              <w:pStyle w:val="TableText"/>
              <w:ind w:left="265"/>
              <w:spacing w:before="19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招标文件要求</w:t>
            </w:r>
          </w:p>
        </w:tc>
        <w:tc>
          <w:tcPr>
            <w:tcW w:w="70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993" w:type="dxa"/>
            <w:vAlign w:val="top"/>
            <w:gridSpan w:val="2"/>
          </w:tcPr>
          <w:p>
            <w:pPr>
              <w:pStyle w:val="TableText"/>
              <w:ind w:left="504"/>
              <w:spacing w:before="18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其他要求</w:t>
            </w:r>
          </w:p>
        </w:tc>
        <w:tc>
          <w:tcPr>
            <w:tcW w:w="70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9079" w:type="dxa"/>
            <w:vAlign w:val="top"/>
            <w:gridSpan w:val="6"/>
          </w:tcPr>
          <w:p>
            <w:pPr>
              <w:pStyle w:val="TableText"/>
              <w:ind w:left="3474"/>
              <w:spacing w:before="213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定标委员会成员情况</w:t>
            </w:r>
          </w:p>
        </w:tc>
      </w:tr>
      <w:tr>
        <w:trPr>
          <w:trHeight w:val="739" w:hRule="atLeast"/>
        </w:trPr>
        <w:tc>
          <w:tcPr>
            <w:tcW w:w="7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序号</w:t>
            </w:r>
          </w:p>
        </w:tc>
        <w:tc>
          <w:tcPr>
            <w:tcW w:w="12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605050"/>
                <w:spacing w:val="15"/>
              </w:rPr>
              <w:t>姓名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332"/>
              <w:spacing w:before="31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工作单位及职务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264"/>
              <w:spacing w:before="31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27"/>
              <w:spacing w:before="31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抽取情况</w:t>
            </w:r>
          </w:p>
        </w:tc>
        <w:tc>
          <w:tcPr>
            <w:tcW w:w="159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00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30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505050"/>
              </w:rPr>
              <w:t>1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39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41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706060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30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606060"/>
              </w:rPr>
              <w:t>4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31" w:line="1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505040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22" w:line="1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43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43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24"/>
              <w:spacing w:before="244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84"/>
        <w:spacing w:before="253" w:line="226" w:lineRule="auto"/>
        <w:rPr>
          <w:rFonts w:ascii="SimHei" w:hAnsi="SimHei" w:eastAsia="SimHei" w:cs="SimHei"/>
          <w:sz w:val="21"/>
          <w:szCs w:val="21"/>
        </w:rPr>
      </w:pPr>
      <w:r>
        <w:rPr>
          <w:sz w:val="25"/>
          <w:szCs w:val="25"/>
          <w:spacing w:val="13"/>
        </w:rPr>
        <w:t>招标人(签章):</w:t>
      </w:r>
      <w:r>
        <w:rPr>
          <w:sz w:val="25"/>
          <w:szCs w:val="25"/>
          <w:spacing w:val="2"/>
        </w:rPr>
        <w:t xml:space="preserve">                       </w:t>
      </w:r>
      <w:r>
        <w:rPr>
          <w:sz w:val="25"/>
          <w:szCs w:val="25"/>
          <w:spacing w:val="1"/>
        </w:rPr>
        <w:t xml:space="preserve">               </w:t>
      </w:r>
      <w:r>
        <w:rPr>
          <w:rFonts w:ascii="SimHei" w:hAnsi="SimHei" w:eastAsia="SimHei" w:cs="SimHei"/>
          <w:sz w:val="21"/>
          <w:szCs w:val="21"/>
          <w:spacing w:val="13"/>
          <w:position w:val="-1"/>
        </w:rPr>
        <w:t>年</w:t>
      </w:r>
      <w:r>
        <w:rPr>
          <w:rFonts w:ascii="SimHei" w:hAnsi="SimHei" w:eastAsia="SimHei" w:cs="SimHei"/>
          <w:sz w:val="21"/>
          <w:szCs w:val="21"/>
          <w:spacing w:val="22"/>
          <w:position w:val="-1"/>
        </w:rPr>
        <w:t xml:space="preserve">    </w:t>
      </w:r>
      <w:r>
        <w:rPr>
          <w:rFonts w:ascii="SimHei" w:hAnsi="SimHei" w:eastAsia="SimHei" w:cs="SimHei"/>
          <w:sz w:val="21"/>
          <w:szCs w:val="21"/>
          <w:spacing w:val="13"/>
          <w:position w:val="-1"/>
        </w:rPr>
        <w:t>月</w:t>
      </w:r>
      <w:r>
        <w:rPr>
          <w:rFonts w:ascii="SimHei" w:hAnsi="SimHei" w:eastAsia="SimHei" w:cs="SimHei"/>
          <w:sz w:val="21"/>
          <w:szCs w:val="21"/>
          <w:spacing w:val="13"/>
          <w:position w:val="-1"/>
        </w:rPr>
        <w:t xml:space="preserve">     </w:t>
      </w:r>
      <w:r>
        <w:rPr>
          <w:rFonts w:ascii="SimHei" w:hAnsi="SimHei" w:eastAsia="SimHei" w:cs="SimHei"/>
          <w:sz w:val="21"/>
          <w:szCs w:val="21"/>
          <w:spacing w:val="13"/>
          <w:position w:val="1"/>
        </w:rPr>
        <w:t>日</w:t>
      </w:r>
    </w:p>
    <w:p>
      <w:pPr>
        <w:spacing w:line="226" w:lineRule="auto"/>
        <w:sectPr>
          <w:footerReference w:type="default" r:id="rId8"/>
          <w:pgSz w:w="11900" w:h="16830"/>
          <w:pgMar w:top="1430" w:right="1415" w:bottom="1866" w:left="1395" w:header="0" w:footer="1373" w:gutter="0"/>
        </w:sectPr>
        <w:rPr>
          <w:rFonts w:ascii="SimHei" w:hAnsi="SimHei" w:eastAsia="SimHei" w:cs="SimHei"/>
          <w:sz w:val="21"/>
          <w:szCs w:val="2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"/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6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3</w:t>
      </w:r>
    </w:p>
    <w:p>
      <w:pPr>
        <w:spacing w:line="441" w:lineRule="auto"/>
        <w:rPr>
          <w:rFonts w:ascii="Arial"/>
          <w:sz w:val="21"/>
        </w:rPr>
      </w:pPr>
      <w:r/>
    </w:p>
    <w:p>
      <w:pPr>
        <w:ind w:left="2836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27"/>
        </w:rPr>
        <w:t>承诺书(示例)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97" w:line="219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我自愿担任本项目的定标委员会成员，在此郑重承诺：</w:t>
      </w:r>
    </w:p>
    <w:p>
      <w:pPr>
        <w:pStyle w:val="BodyText"/>
        <w:ind w:right="30" w:firstLine="639"/>
        <w:spacing w:before="216" w:line="312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1.严格遵守《中华人民共和国招标投标法》《中华人民共和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4"/>
        </w:rPr>
        <w:t>国保守国家秘密法》等相关法律及有关部门关于招投标的法规、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17"/>
        </w:rPr>
        <w:t>规章，维护国家利益、公共利益和他人利益。</w:t>
      </w:r>
    </w:p>
    <w:p>
      <w:pPr>
        <w:pStyle w:val="BodyText"/>
        <w:ind w:right="111" w:firstLine="639"/>
        <w:spacing w:before="219" w:line="313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2.</w:t>
      </w:r>
      <w:r>
        <w:rPr>
          <w:sz w:val="30"/>
          <w:szCs w:val="30"/>
          <w:spacing w:val="10"/>
        </w:rPr>
        <w:t>客观公正地履行职责，遵守职业道德，独立、负责地为本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22"/>
        </w:rPr>
        <w:t>项目提供真实、可靠合理的定标意见，并对提出的评审意见承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10"/>
        </w:rPr>
        <w:t>担个人责任。</w:t>
      </w:r>
    </w:p>
    <w:p>
      <w:pPr>
        <w:pStyle w:val="BodyText"/>
        <w:ind w:right="81" w:firstLine="639"/>
        <w:spacing w:before="193" w:line="289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3.履行相关保密义务，不透露定标委员会成</w:t>
      </w:r>
      <w:r>
        <w:rPr>
          <w:sz w:val="30"/>
          <w:szCs w:val="30"/>
          <w:spacing w:val="11"/>
        </w:rPr>
        <w:t>员名单、中标人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2"/>
        </w:rPr>
        <w:t>推荐以及与定标有关的其他情况，保守定标过程中所有商业秘</w:t>
      </w:r>
    </w:p>
    <w:p>
      <w:pPr>
        <w:pStyle w:val="BodyText"/>
        <w:spacing w:before="228" w:line="224" w:lineRule="auto"/>
        <w:rPr>
          <w:sz w:val="30"/>
          <w:szCs w:val="30"/>
        </w:rPr>
      </w:pPr>
      <w:r>
        <w:rPr>
          <w:sz w:val="30"/>
          <w:szCs w:val="30"/>
          <w:color w:val="405050"/>
          <w:spacing w:val="-5"/>
        </w:rPr>
        <w:t>密。</w:t>
      </w:r>
    </w:p>
    <w:p>
      <w:pPr>
        <w:pStyle w:val="BodyText"/>
        <w:ind w:firstLine="639"/>
        <w:spacing w:before="208" w:line="321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4.遵守定标纪律，不私下接触投标人或者其他</w:t>
      </w:r>
      <w:r>
        <w:rPr>
          <w:sz w:val="30"/>
          <w:szCs w:val="30"/>
          <w:spacing w:val="14"/>
        </w:rPr>
        <w:t>利害关系人，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3"/>
        </w:rPr>
        <w:t>不收受他人的财物或者其他好处，自觉抵制定标过</w:t>
      </w:r>
      <w:r>
        <w:rPr>
          <w:sz w:val="30"/>
          <w:szCs w:val="30"/>
          <w:spacing w:val="22"/>
        </w:rPr>
        <w:t>程中一切不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正当要求。</w:t>
      </w:r>
    </w:p>
    <w:p>
      <w:pPr>
        <w:pStyle w:val="BodyText"/>
        <w:ind w:right="81" w:firstLine="639"/>
        <w:spacing w:before="177" w:line="288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5.严格遵守定标委员会成员回避制度，当发</w:t>
      </w:r>
      <w:r>
        <w:rPr>
          <w:sz w:val="30"/>
          <w:szCs w:val="30"/>
          <w:spacing w:val="11"/>
        </w:rPr>
        <w:t>现自己与投标人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有隶属关系、合作经营关系以及其他利益关</w:t>
      </w:r>
      <w:r>
        <w:rPr>
          <w:sz w:val="30"/>
          <w:szCs w:val="30"/>
          <w:spacing w:val="17"/>
        </w:rPr>
        <w:t>系时，绝不隐瞒，</w:t>
      </w:r>
    </w:p>
    <w:p>
      <w:pPr>
        <w:pStyle w:val="BodyText"/>
        <w:spacing w:before="227" w:line="224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主动回避。</w:t>
      </w:r>
    </w:p>
    <w:p>
      <w:pPr>
        <w:pStyle w:val="BodyText"/>
        <w:ind w:right="111" w:firstLine="639"/>
        <w:spacing w:before="223" w:line="285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6.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7"/>
        </w:rPr>
        <w:t>自觉抵制招投标违法违规行为，积极配合有关部门的调查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取证工作。</w:t>
      </w:r>
    </w:p>
    <w:p>
      <w:pPr>
        <w:spacing w:line="285" w:lineRule="auto"/>
        <w:sectPr>
          <w:footerReference w:type="default" r:id="rId9"/>
          <w:pgSz w:w="11900" w:h="16830"/>
          <w:pgMar w:top="1430" w:right="1479" w:bottom="1849" w:left="1579" w:header="0" w:footer="1382" w:gutter="0"/>
        </w:sectPr>
        <w:rPr>
          <w:sz w:val="30"/>
          <w:szCs w:val="30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599"/>
        <w:spacing w:before="94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0"/>
        </w:rPr>
        <w:t>7.</w:t>
      </w:r>
      <w:r>
        <w:rPr>
          <w:sz w:val="29"/>
          <w:szCs w:val="29"/>
          <w:spacing w:val="20"/>
        </w:rPr>
        <w:t>自觉服从监督部门的监督和管理。</w:t>
      </w:r>
    </w:p>
    <w:p>
      <w:pPr>
        <w:pStyle w:val="BodyText"/>
        <w:ind w:firstLine="620"/>
        <w:spacing w:before="210" w:line="376" w:lineRule="auto"/>
        <w:rPr>
          <w:sz w:val="29"/>
          <w:szCs w:val="29"/>
        </w:rPr>
      </w:pPr>
      <w:r>
        <w:rPr>
          <w:sz w:val="29"/>
          <w:szCs w:val="29"/>
          <w:spacing w:val="32"/>
        </w:rPr>
        <w:t>以上承诺如有违反，本人愿意接受有关行政机关依法做出</w:t>
      </w:r>
      <w:r>
        <w:rPr>
          <w:sz w:val="29"/>
          <w:szCs w:val="29"/>
          <w:spacing w:val="10"/>
        </w:rPr>
        <w:t xml:space="preserve"> </w:t>
      </w:r>
      <w:r>
        <w:rPr>
          <w:sz w:val="29"/>
          <w:szCs w:val="29"/>
          <w:spacing w:val="22"/>
        </w:rPr>
        <w:t>的任何行政处罚和处分。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110"/>
        <w:spacing w:before="94" w:line="224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承诺人：</w:t>
      </w:r>
    </w:p>
    <w:p>
      <w:pPr>
        <w:pStyle w:val="BodyText"/>
        <w:ind w:left="4110"/>
        <w:spacing w:before="207" w:line="223" w:lineRule="auto"/>
        <w:rPr>
          <w:sz w:val="29"/>
          <w:szCs w:val="29"/>
        </w:rPr>
      </w:pPr>
      <w:r>
        <w:rPr>
          <w:sz w:val="29"/>
          <w:szCs w:val="29"/>
          <w:spacing w:val="15"/>
        </w:rPr>
        <w:t>承诺日期：</w:t>
      </w:r>
    </w:p>
    <w:p>
      <w:pPr>
        <w:spacing w:line="223" w:lineRule="auto"/>
        <w:sectPr>
          <w:footerReference w:type="default" r:id="rId10"/>
          <w:pgSz w:w="11900" w:h="16830"/>
          <w:pgMar w:top="1430" w:right="1598" w:bottom="1849" w:left="1619" w:header="0" w:footer="1382" w:gutter="0"/>
        </w:sectPr>
        <w:rPr>
          <w:sz w:val="29"/>
          <w:szCs w:val="29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0"/>
        </w:rPr>
        <w:t>附件4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871"/>
        <w:spacing w:before="149" w:line="21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18"/>
        </w:rPr>
        <w:t>定标报告(示例)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2385"/>
        <w:spacing w:before="91" w:line="222" w:lineRule="auto"/>
        <w:rPr>
          <w:sz w:val="28"/>
          <w:szCs w:val="28"/>
        </w:rPr>
      </w:pPr>
      <w:r>
        <w:rPr>
          <w:sz w:val="28"/>
          <w:szCs w:val="28"/>
          <w:spacing w:val="12"/>
        </w:rPr>
        <w:t>招标编号：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865"/>
        <w:spacing w:before="91" w:line="229" w:lineRule="auto"/>
        <w:rPr>
          <w:sz w:val="28"/>
          <w:szCs w:val="28"/>
        </w:rPr>
      </w:pPr>
      <w:r>
        <w:rPr>
          <w:sz w:val="28"/>
          <w:szCs w:val="28"/>
          <w:spacing w:val="-14"/>
        </w:rPr>
        <w:t>招标人：</w:t>
      </w:r>
      <w:r>
        <w:rPr>
          <w:sz w:val="28"/>
          <w:szCs w:val="28"/>
          <w:spacing w:val="-35"/>
        </w:rPr>
        <w:t xml:space="preserve"> </w:t>
      </w:r>
      <w:r>
        <w:rPr>
          <w:sz w:val="28"/>
          <w:szCs w:val="28"/>
          <w:u w:val="single" w:color="auto"/>
          <w:spacing w:val="7"/>
        </w:rPr>
        <w:t xml:space="preserve">                </w:t>
      </w:r>
      <w:r>
        <w:rPr>
          <w:sz w:val="28"/>
          <w:szCs w:val="28"/>
          <w:u w:val="single" w:color="auto"/>
          <w:spacing w:val="-14"/>
        </w:rPr>
        <w:t>(</w:t>
      </w:r>
      <w:r>
        <w:rPr>
          <w:sz w:val="28"/>
          <w:szCs w:val="28"/>
          <w:u w:val="single" w:color="auto"/>
          <w:spacing w:val="79"/>
        </w:rPr>
        <w:t xml:space="preserve"> </w:t>
      </w:r>
      <w:r>
        <w:rPr>
          <w:sz w:val="28"/>
          <w:szCs w:val="28"/>
          <w:u w:val="single" w:color="auto"/>
          <w:spacing w:val="-14"/>
        </w:rPr>
        <w:t>盖</w:t>
      </w:r>
      <w:r>
        <w:rPr>
          <w:sz w:val="28"/>
          <w:szCs w:val="28"/>
          <w:u w:val="single" w:color="auto"/>
          <w:spacing w:val="69"/>
        </w:rPr>
        <w:t xml:space="preserve"> </w:t>
      </w:r>
      <w:r>
        <w:rPr>
          <w:sz w:val="28"/>
          <w:szCs w:val="28"/>
          <w:u w:val="single" w:color="auto"/>
          <w:spacing w:val="-14"/>
        </w:rPr>
        <w:t>章</w:t>
      </w:r>
      <w:r>
        <w:rPr>
          <w:sz w:val="28"/>
          <w:szCs w:val="28"/>
          <w:u w:val="single" w:color="auto"/>
          <w:spacing w:val="59"/>
        </w:rPr>
        <w:t xml:space="preserve"> </w:t>
      </w:r>
      <w:r>
        <w:rPr>
          <w:sz w:val="28"/>
          <w:szCs w:val="28"/>
          <w:u w:val="single" w:color="auto"/>
          <w:spacing w:val="-14"/>
        </w:rPr>
        <w:t>)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865"/>
        <w:spacing w:before="91" w:line="222" w:lineRule="auto"/>
        <w:rPr>
          <w:sz w:val="28"/>
          <w:szCs w:val="28"/>
        </w:rPr>
      </w:pPr>
      <w:r>
        <w:rPr>
          <w:sz w:val="28"/>
          <w:szCs w:val="28"/>
          <w:spacing w:val="-24"/>
        </w:rPr>
        <w:t>定</w:t>
      </w:r>
      <w:r>
        <w:rPr>
          <w:sz w:val="28"/>
          <w:szCs w:val="28"/>
          <w:spacing w:val="-52"/>
        </w:rPr>
        <w:t xml:space="preserve"> </w:t>
      </w:r>
      <w:r>
        <w:rPr>
          <w:sz w:val="28"/>
          <w:szCs w:val="28"/>
          <w:spacing w:val="-24"/>
        </w:rPr>
        <w:t>标</w:t>
      </w:r>
      <w:r>
        <w:rPr>
          <w:sz w:val="28"/>
          <w:szCs w:val="28"/>
          <w:spacing w:val="-43"/>
        </w:rPr>
        <w:t xml:space="preserve"> </w:t>
      </w:r>
      <w:r>
        <w:rPr>
          <w:sz w:val="28"/>
          <w:szCs w:val="28"/>
          <w:spacing w:val="-24"/>
        </w:rPr>
        <w:t>委</w:t>
      </w:r>
      <w:r>
        <w:rPr>
          <w:sz w:val="28"/>
          <w:szCs w:val="28"/>
          <w:spacing w:val="-32"/>
        </w:rPr>
        <w:t xml:space="preserve"> </w:t>
      </w:r>
      <w:r>
        <w:rPr>
          <w:sz w:val="28"/>
          <w:szCs w:val="28"/>
          <w:spacing w:val="-24"/>
        </w:rPr>
        <w:t>员</w:t>
      </w:r>
      <w:r>
        <w:rPr>
          <w:sz w:val="28"/>
          <w:szCs w:val="28"/>
          <w:spacing w:val="-45"/>
        </w:rPr>
        <w:t xml:space="preserve"> </w:t>
      </w:r>
      <w:r>
        <w:rPr>
          <w:sz w:val="28"/>
          <w:szCs w:val="28"/>
          <w:spacing w:val="-24"/>
        </w:rPr>
        <w:t>会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:spacing w:val="-24"/>
        </w:rPr>
        <w:t>组</w:t>
      </w:r>
      <w:r>
        <w:rPr>
          <w:sz w:val="28"/>
          <w:szCs w:val="28"/>
          <w:spacing w:val="-54"/>
        </w:rPr>
        <w:t xml:space="preserve"> </w:t>
      </w:r>
      <w:r>
        <w:rPr>
          <w:sz w:val="28"/>
          <w:szCs w:val="28"/>
          <w:spacing w:val="-24"/>
        </w:rPr>
        <w:t>长</w:t>
      </w:r>
      <w:r>
        <w:rPr>
          <w:sz w:val="28"/>
          <w:szCs w:val="28"/>
          <w:u w:val="single" w:color="auto"/>
          <w:spacing w:val="-33"/>
        </w:rPr>
        <w:t xml:space="preserve"> </w:t>
      </w:r>
      <w:r>
        <w:rPr>
          <w:sz w:val="28"/>
          <w:szCs w:val="28"/>
          <w:u w:val="single" w:color="auto"/>
          <w:spacing w:val="-24"/>
        </w:rPr>
        <w:t>：</w:t>
      </w:r>
      <w:r>
        <w:rPr>
          <w:sz w:val="28"/>
          <w:szCs w:val="28"/>
          <w:u w:val="single" w:color="auto"/>
        </w:rPr>
        <w:t xml:space="preserve">       </w:t>
      </w:r>
      <w:r>
        <w:rPr>
          <w:sz w:val="28"/>
          <w:szCs w:val="28"/>
          <w:u w:val="single" w:color="auto"/>
          <w:spacing w:val="-24"/>
        </w:rPr>
        <w:t>(</w:t>
      </w:r>
      <w:r>
        <w:rPr>
          <w:sz w:val="28"/>
          <w:szCs w:val="28"/>
          <w:u w:val="single" w:color="auto"/>
          <w:spacing w:val="21"/>
        </w:rPr>
        <w:t xml:space="preserve"> </w:t>
      </w:r>
      <w:r>
        <w:rPr>
          <w:sz w:val="28"/>
          <w:szCs w:val="28"/>
          <w:u w:val="single" w:color="auto"/>
          <w:spacing w:val="-24"/>
        </w:rPr>
        <w:t>签</w:t>
      </w:r>
      <w:r>
        <w:rPr>
          <w:sz w:val="28"/>
          <w:szCs w:val="28"/>
          <w:u w:val="single" w:color="auto"/>
          <w:spacing w:val="-24"/>
        </w:rPr>
        <w:t xml:space="preserve"> </w:t>
      </w:r>
      <w:r>
        <w:rPr>
          <w:sz w:val="28"/>
          <w:szCs w:val="28"/>
          <w:u w:val="single" w:color="auto"/>
          <w:spacing w:val="-24"/>
        </w:rPr>
        <w:t>名</w:t>
      </w:r>
      <w:r>
        <w:rPr>
          <w:sz w:val="28"/>
          <w:szCs w:val="28"/>
          <w:u w:val="single" w:color="auto"/>
          <w:spacing w:val="5"/>
        </w:rPr>
        <w:t xml:space="preserve"> </w:t>
      </w:r>
      <w:r>
        <w:rPr>
          <w:sz w:val="28"/>
          <w:szCs w:val="28"/>
          <w:u w:val="single" w:color="auto"/>
          <w:spacing w:val="-24"/>
        </w:rPr>
        <w:t>)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1865"/>
        <w:spacing w:before="108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日期：</w:t>
      </w:r>
      <w:r>
        <w:rPr>
          <w:rFonts w:ascii="SimHei" w:hAnsi="SimHei" w:eastAsia="SimHei" w:cs="SimHei"/>
          <w:sz w:val="28"/>
          <w:szCs w:val="28"/>
          <w:u w:val="single" w:color="auto"/>
          <w:spacing w:val="-10"/>
        </w:rPr>
        <w:t xml:space="preserve">         </w:t>
      </w:r>
      <w:r>
        <w:rPr>
          <w:rFonts w:ascii="SimHei" w:hAnsi="SimHei" w:eastAsia="SimHei" w:cs="SimHei"/>
          <w:sz w:val="32"/>
          <w:szCs w:val="32"/>
          <w:spacing w:val="-10"/>
        </w:rPr>
        <w:t>年</w:t>
      </w:r>
      <w:r>
        <w:rPr>
          <w:rFonts w:ascii="SimHei" w:hAnsi="SimHei" w:eastAsia="SimHei" w:cs="SimHei"/>
          <w:sz w:val="32"/>
          <w:szCs w:val="32"/>
          <w:u w:val="single" w:color="auto"/>
          <w:spacing w:val="-10"/>
        </w:rPr>
        <w:t xml:space="preserve">       </w:t>
      </w:r>
      <w:r>
        <w:rPr>
          <w:rFonts w:ascii="SimHei" w:hAnsi="SimHei" w:eastAsia="SimHei" w:cs="SimHei"/>
          <w:sz w:val="32"/>
          <w:szCs w:val="32"/>
          <w:spacing w:val="-142"/>
        </w:rPr>
        <w:t xml:space="preserve"> </w:t>
      </w:r>
      <w:r>
        <w:rPr>
          <w:rFonts w:ascii="SimHei" w:hAnsi="SimHei" w:eastAsia="SimHei" w:cs="SimHei"/>
          <w:sz w:val="33"/>
          <w:szCs w:val="33"/>
          <w:color w:val="505060"/>
          <w:spacing w:val="-10"/>
        </w:rPr>
        <w:t>月</w:t>
      </w:r>
      <w:r>
        <w:rPr>
          <w:rFonts w:ascii="SimHei" w:hAnsi="SimHei" w:eastAsia="SimHei" w:cs="SimHei"/>
          <w:sz w:val="33"/>
          <w:szCs w:val="33"/>
          <w:color w:val="505060"/>
          <w:spacing w:val="-145"/>
        </w:rPr>
        <w:t xml:space="preserve"> </w:t>
      </w:r>
      <w:r>
        <w:rPr>
          <w:rFonts w:ascii="SimHei" w:hAnsi="SimHei" w:eastAsia="SimHei" w:cs="SimHei"/>
          <w:sz w:val="33"/>
          <w:szCs w:val="33"/>
          <w:u w:val="single" w:color="000000"/>
          <w:color w:val="505060"/>
          <w:spacing w:val="11"/>
        </w:rPr>
        <w:t xml:space="preserve">      </w:t>
      </w:r>
      <w:r>
        <w:rPr>
          <w:rFonts w:ascii="SimHei" w:hAnsi="SimHei" w:eastAsia="SimHei" w:cs="SimHei"/>
          <w:sz w:val="33"/>
          <w:szCs w:val="33"/>
          <w:color w:val="505060"/>
          <w:spacing w:val="-12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日</w:t>
      </w:r>
    </w:p>
    <w:p>
      <w:pPr>
        <w:spacing w:line="225" w:lineRule="auto"/>
        <w:sectPr>
          <w:footerReference w:type="default" r:id="rId11"/>
          <w:pgSz w:w="11900" w:h="16830"/>
          <w:pgMar w:top="1430" w:right="1785" w:bottom="1766" w:left="1594" w:header="0" w:footer="1444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3311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3"/>
        </w:rPr>
        <w:t>定标报告</w:t>
      </w:r>
    </w:p>
    <w:p>
      <w:pPr>
        <w:ind w:left="6284"/>
        <w:spacing w:before="154" w:line="219" w:lineRule="auto"/>
        <w:tabs>
          <w:tab w:val="left" w:pos="6999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u w:val="dotted" w:color="auto"/>
        </w:rPr>
        <w:tab/>
      </w:r>
      <w:r>
        <w:rPr>
          <w:rFonts w:ascii="SimSun" w:hAnsi="SimSun" w:eastAsia="SimSun" w:cs="SimSun"/>
          <w:sz w:val="28"/>
          <w:szCs w:val="28"/>
          <w:spacing w:val="-12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0"/>
        </w:rPr>
        <w:t>年</w:t>
      </w:r>
      <w:r>
        <w:rPr>
          <w:rFonts w:ascii="SimSun" w:hAnsi="SimSun" w:eastAsia="SimSun" w:cs="SimSun"/>
          <w:sz w:val="28"/>
          <w:szCs w:val="28"/>
          <w:spacing w:val="-136"/>
        </w:rPr>
        <w:t xml:space="preserve"> </w:t>
      </w:r>
      <w:r>
        <w:rPr>
          <w:rFonts w:ascii="SimSun" w:hAnsi="SimSun" w:eastAsia="SimSun" w:cs="SimSun"/>
          <w:sz w:val="28"/>
          <w:szCs w:val="28"/>
          <w:u w:val="dotted" w:color="auto"/>
          <w:spacing w:val="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1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0"/>
        </w:rPr>
        <w:t>月</w:t>
      </w:r>
      <w:r>
        <w:rPr>
          <w:rFonts w:ascii="SimSun" w:hAnsi="SimSun" w:eastAsia="SimSun" w:cs="SimSun"/>
          <w:sz w:val="28"/>
          <w:szCs w:val="28"/>
          <w:spacing w:val="-136"/>
        </w:rPr>
        <w:t xml:space="preserve"> </w:t>
      </w:r>
      <w:r>
        <w:rPr>
          <w:rFonts w:ascii="SimSun" w:hAnsi="SimSun" w:eastAsia="SimSun" w:cs="SimSun"/>
          <w:sz w:val="28"/>
          <w:szCs w:val="28"/>
          <w:u w:val="dotted" w:color="auto"/>
          <w:spacing w:val="1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7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0"/>
        </w:rPr>
        <w:t>日</w:t>
      </w:r>
    </w:p>
    <w:p>
      <w:pPr>
        <w:spacing w:line="20" w:lineRule="exact"/>
        <w:rPr/>
      </w:pPr>
      <w:r/>
    </w:p>
    <w:tbl>
      <w:tblPr>
        <w:tblStyle w:val="TableNormal"/>
        <w:tblW w:w="8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1378"/>
        <w:gridCol w:w="2597"/>
        <w:gridCol w:w="1308"/>
        <w:gridCol w:w="1553"/>
      </w:tblGrid>
      <w:tr>
        <w:trPr>
          <w:trHeight w:val="674" w:hRule="atLeast"/>
        </w:trPr>
        <w:tc>
          <w:tcPr>
            <w:tcW w:w="151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定标概况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02"/>
              <w:spacing w:before="2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项目名称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166"/>
              <w:spacing w:before="22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评标办法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9" w:hRule="atLeast"/>
        </w:trPr>
        <w:tc>
          <w:tcPr>
            <w:tcW w:w="15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02"/>
              <w:spacing w:before="12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推荐中标</w:t>
            </w:r>
          </w:p>
          <w:p>
            <w:pPr>
              <w:pStyle w:val="TableText"/>
              <w:ind w:left="202"/>
              <w:spacing w:before="3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候选人数</w:t>
            </w:r>
          </w:p>
          <w:p>
            <w:pPr>
              <w:pStyle w:val="TableText"/>
              <w:ind w:left="562"/>
              <w:spacing w:before="62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量</w:t>
            </w:r>
          </w:p>
        </w:tc>
        <w:tc>
          <w:tcPr>
            <w:tcW w:w="259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3"/>
              <w:spacing w:before="78" w:line="223" w:lineRule="auto"/>
              <w:tabs>
                <w:tab w:val="left" w:pos="13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30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是否考察</w:t>
            </w:r>
          </w:p>
        </w:tc>
        <w:tc>
          <w:tcPr>
            <w:tcW w:w="155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</w:rPr>
              <w:t>(是或否)</w:t>
            </w:r>
          </w:p>
        </w:tc>
      </w:tr>
      <w:tr>
        <w:trPr>
          <w:trHeight w:val="669" w:hRule="atLeast"/>
        </w:trPr>
        <w:tc>
          <w:tcPr>
            <w:tcW w:w="15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02"/>
              <w:spacing w:before="2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是否面询</w:t>
            </w:r>
          </w:p>
        </w:tc>
        <w:tc>
          <w:tcPr>
            <w:tcW w:w="2597" w:type="dxa"/>
            <w:vAlign w:val="top"/>
          </w:tcPr>
          <w:p>
            <w:pPr>
              <w:pStyle w:val="TableText"/>
              <w:ind w:left="813"/>
              <w:spacing w:before="2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</w:rPr>
              <w:t>(是或否)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166"/>
              <w:spacing w:before="2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是否质询</w:t>
            </w:r>
          </w:p>
        </w:tc>
        <w:tc>
          <w:tcPr>
            <w:tcW w:w="1553" w:type="dxa"/>
            <w:vAlign w:val="top"/>
          </w:tcPr>
          <w:p>
            <w:pPr>
              <w:pStyle w:val="TableText"/>
              <w:ind w:left="289"/>
              <w:spacing w:before="2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</w:rPr>
              <w:t>(是或否)</w:t>
            </w:r>
          </w:p>
        </w:tc>
      </w:tr>
      <w:tr>
        <w:trPr>
          <w:trHeight w:val="1239" w:hRule="atLeast"/>
        </w:trPr>
        <w:tc>
          <w:tcPr>
            <w:tcW w:w="1513" w:type="dxa"/>
            <w:vAlign w:val="top"/>
          </w:tcPr>
          <w:p>
            <w:pPr>
              <w:pStyle w:val="TableText"/>
              <w:ind w:left="504" w:right="147" w:hanging="360"/>
              <w:spacing w:before="311" w:line="35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定标委员会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名单</w:t>
            </w:r>
          </w:p>
        </w:tc>
        <w:tc>
          <w:tcPr>
            <w:tcW w:w="6836" w:type="dxa"/>
            <w:vAlign w:val="top"/>
            <w:gridSpan w:val="4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附：定标委员会抽选结果、定标委员会全体成员名单</w:t>
            </w:r>
          </w:p>
        </w:tc>
      </w:tr>
      <w:tr>
        <w:trPr>
          <w:trHeight w:val="839" w:hRule="atLeast"/>
        </w:trPr>
        <w:tc>
          <w:tcPr>
            <w:tcW w:w="1513" w:type="dxa"/>
            <w:vAlign w:val="top"/>
          </w:tcPr>
          <w:p>
            <w:pPr>
              <w:pStyle w:val="TableText"/>
              <w:ind w:left="265"/>
              <w:spacing w:before="30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评标报告</w:t>
            </w:r>
          </w:p>
        </w:tc>
        <w:tc>
          <w:tcPr>
            <w:tcW w:w="6836" w:type="dxa"/>
            <w:vAlign w:val="top"/>
            <w:gridSpan w:val="4"/>
          </w:tcPr>
          <w:p>
            <w:pPr>
              <w:pStyle w:val="TableText"/>
              <w:ind w:left="101"/>
              <w:spacing w:before="30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附：评标报告、开标记录</w:t>
            </w:r>
          </w:p>
        </w:tc>
      </w:tr>
      <w:tr>
        <w:trPr>
          <w:trHeight w:val="4786" w:hRule="atLeast"/>
        </w:trPr>
        <w:tc>
          <w:tcPr>
            <w:tcW w:w="15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定标要素</w:t>
            </w:r>
          </w:p>
        </w:tc>
        <w:tc>
          <w:tcPr>
            <w:tcW w:w="6836" w:type="dxa"/>
            <w:vAlign w:val="top"/>
            <w:gridSpan w:val="4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(请按招标文件要求选择)</w:t>
            </w:r>
          </w:p>
          <w:p>
            <w:pPr>
              <w:pStyle w:val="TableText"/>
              <w:ind w:left="101"/>
              <w:spacing w:before="132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</w:rPr>
              <w:t>1</w:t>
            </w:r>
            <w:r>
              <w:rPr>
                <w:sz w:val="24"/>
                <w:szCs w:val="24"/>
                <w:spacing w:val="-71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.价格因素；</w:t>
            </w:r>
          </w:p>
          <w:p>
            <w:pPr>
              <w:pStyle w:val="TableText"/>
              <w:ind w:left="101"/>
              <w:spacing w:before="16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7"/>
              </w:rPr>
              <w:t>2.企业实力；</w:t>
            </w:r>
          </w:p>
          <w:p>
            <w:pPr>
              <w:pStyle w:val="TableText"/>
              <w:ind w:left="101"/>
              <w:spacing w:before="15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7"/>
              </w:rPr>
              <w:t>3.企业信誉；</w:t>
            </w:r>
          </w:p>
          <w:p>
            <w:pPr>
              <w:pStyle w:val="TableText"/>
              <w:ind w:left="101"/>
              <w:spacing w:before="16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</w:rPr>
              <w:t>4.投标方案优劣；</w:t>
            </w:r>
          </w:p>
          <w:p>
            <w:pPr>
              <w:pStyle w:val="TableText"/>
              <w:ind w:left="101"/>
              <w:spacing w:before="14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9"/>
              </w:rPr>
              <w:t>5.拟派团队能力与水平；</w:t>
            </w:r>
          </w:p>
          <w:p>
            <w:pPr>
              <w:pStyle w:val="TableText"/>
              <w:ind w:left="101"/>
              <w:spacing w:before="16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6.定标核查惰况</w:t>
            </w:r>
          </w:p>
          <w:p>
            <w:pPr>
              <w:pStyle w:val="TableText"/>
              <w:ind w:left="101"/>
              <w:spacing w:before="143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2"/>
              </w:rPr>
              <w:t>7.质询或考察报告；</w:t>
            </w:r>
          </w:p>
          <w:p>
            <w:pPr>
              <w:pStyle w:val="TableText"/>
              <w:ind w:left="101"/>
              <w:spacing w:before="17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</w:rPr>
              <w:t>8.评标委员会评审意见；</w:t>
            </w:r>
          </w:p>
          <w:p>
            <w:pPr>
              <w:pStyle w:val="TableText"/>
              <w:ind w:left="101"/>
              <w:spacing w:before="13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9.招标人认为需考量的其他要素。</w:t>
            </w:r>
          </w:p>
        </w:tc>
      </w:tr>
      <w:tr>
        <w:trPr>
          <w:trHeight w:val="769" w:hRule="atLeast"/>
        </w:trPr>
        <w:tc>
          <w:tcPr>
            <w:tcW w:w="1513" w:type="dxa"/>
            <w:vAlign w:val="top"/>
          </w:tcPr>
          <w:p>
            <w:pPr>
              <w:pStyle w:val="TableText"/>
              <w:ind w:left="374"/>
              <w:spacing w:before="10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305070"/>
                <w:spacing w:val="-8"/>
              </w:rPr>
              <w:t>定</w:t>
            </w:r>
            <w:r>
              <w:rPr>
                <w:sz w:val="24"/>
                <w:szCs w:val="24"/>
                <w:color w:val="305070"/>
                <w:spacing w:val="27"/>
              </w:rPr>
              <w:t xml:space="preserve">  </w:t>
            </w:r>
            <w:r>
              <w:rPr>
                <w:sz w:val="24"/>
                <w:szCs w:val="24"/>
                <w:color w:val="305070"/>
                <w:spacing w:val="-8"/>
              </w:rPr>
              <w:t>标</w:t>
            </w:r>
          </w:p>
          <w:p>
            <w:pPr>
              <w:pStyle w:val="TableText"/>
              <w:ind w:left="444"/>
              <w:spacing w:before="1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办</w:t>
            </w:r>
            <w:r>
              <w:rPr>
                <w:sz w:val="24"/>
                <w:szCs w:val="24"/>
                <w:spacing w:val="33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法</w:t>
            </w:r>
          </w:p>
        </w:tc>
        <w:tc>
          <w:tcPr>
            <w:tcW w:w="6836" w:type="dxa"/>
            <w:vAlign w:val="top"/>
            <w:gridSpan w:val="4"/>
          </w:tcPr>
          <w:p>
            <w:pPr>
              <w:pStyle w:val="TableText"/>
              <w:ind w:left="101"/>
              <w:spacing w:before="16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(请按招标文件要求选择)核查随机法(票决法集体议</w:t>
            </w:r>
            <w:r>
              <w:rPr>
                <w:sz w:val="24"/>
                <w:szCs w:val="24"/>
                <w:spacing w:val="1"/>
              </w:rPr>
              <w:t>事法)</w:t>
            </w:r>
          </w:p>
        </w:tc>
      </w:tr>
      <w:tr>
        <w:trPr>
          <w:trHeight w:val="1244" w:hRule="atLeast"/>
        </w:trPr>
        <w:tc>
          <w:tcPr>
            <w:tcW w:w="151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 w:right="147" w:hanging="360"/>
              <w:spacing w:before="78"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中标候选人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名单</w:t>
            </w:r>
          </w:p>
        </w:tc>
        <w:tc>
          <w:tcPr>
            <w:tcW w:w="683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0" w:h="16830"/>
          <w:pgMar w:top="1430" w:right="1719" w:bottom="1790" w:left="1755" w:header="0" w:footer="14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0"/>
        <w:rPr/>
      </w:pPr>
      <w:r/>
    </w:p>
    <w:tbl>
      <w:tblPr>
        <w:tblStyle w:val="TableNormal"/>
        <w:tblW w:w="8359" w:type="dxa"/>
        <w:tblInd w:w="1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3535"/>
        <w:gridCol w:w="3311"/>
      </w:tblGrid>
      <w:tr>
        <w:trPr>
          <w:trHeight w:val="894" w:hRule="atLeast"/>
        </w:trPr>
        <w:tc>
          <w:tcPr>
            <w:tcW w:w="15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中标人名单</w:t>
            </w:r>
          </w:p>
        </w:tc>
        <w:tc>
          <w:tcPr>
            <w:tcW w:w="68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7" w:hRule="atLeast"/>
        </w:trPr>
        <w:tc>
          <w:tcPr>
            <w:tcW w:w="151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定标办法</w:t>
            </w:r>
          </w:p>
          <w:p>
            <w:pPr>
              <w:pStyle w:val="TableText"/>
              <w:ind w:left="245"/>
              <w:spacing w:before="2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"/>
              </w:rPr>
              <w:t>操作概况</w:t>
            </w:r>
          </w:p>
        </w:tc>
        <w:tc>
          <w:tcPr>
            <w:tcW w:w="6846" w:type="dxa"/>
            <w:vAlign w:val="top"/>
            <w:gridSpan w:val="2"/>
          </w:tcPr>
          <w:p>
            <w:pPr>
              <w:pStyle w:val="TableText"/>
              <w:ind w:left="212"/>
              <w:spacing w:before="2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(根据定标办法筒易描述产生中标人的过程)</w:t>
            </w:r>
          </w:p>
        </w:tc>
      </w:tr>
      <w:tr>
        <w:trPr>
          <w:trHeight w:val="1419" w:hRule="atLeast"/>
        </w:trPr>
        <w:tc>
          <w:tcPr>
            <w:tcW w:w="151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 w:right="100" w:hanging="250"/>
              <w:spacing w:before="82" w:line="23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其它需说明</w:t>
            </w:r>
            <w:r>
              <w:rPr>
                <w:sz w:val="25"/>
                <w:szCs w:val="25"/>
                <w:spacing w:val="1"/>
              </w:rPr>
              <w:t xml:space="preserve"> </w:t>
            </w:r>
            <w:r>
              <w:rPr>
                <w:sz w:val="25"/>
                <w:szCs w:val="25"/>
                <w:spacing w:val="5"/>
              </w:rPr>
              <w:t>的事宜</w:t>
            </w:r>
          </w:p>
        </w:tc>
        <w:tc>
          <w:tcPr>
            <w:tcW w:w="68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51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17" w:hanging="120"/>
              <w:spacing w:before="81" w:line="23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定标委员会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pacing w:val="2"/>
              </w:rPr>
              <w:t>成员签字</w:t>
            </w:r>
          </w:p>
        </w:tc>
        <w:tc>
          <w:tcPr>
            <w:tcW w:w="3535" w:type="dxa"/>
            <w:vAlign w:val="top"/>
          </w:tcPr>
          <w:p>
            <w:pPr>
              <w:pStyle w:val="TableText"/>
              <w:ind w:left="1271"/>
              <w:spacing w:before="20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605050"/>
                <w:spacing w:val="16"/>
              </w:rPr>
              <w:t>姓名</w:t>
            </w:r>
          </w:p>
        </w:tc>
        <w:tc>
          <w:tcPr>
            <w:tcW w:w="3311" w:type="dxa"/>
            <w:vAlign w:val="top"/>
          </w:tcPr>
          <w:p>
            <w:pPr>
              <w:pStyle w:val="TableText"/>
              <w:ind w:left="1407"/>
              <w:spacing w:before="206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备注</w:t>
            </w:r>
          </w:p>
        </w:tc>
      </w:tr>
      <w:tr>
        <w:trPr>
          <w:trHeight w:val="639" w:hRule="atLeast"/>
        </w:trPr>
        <w:tc>
          <w:tcPr>
            <w:tcW w:w="15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0" w:hRule="atLeast"/>
        </w:trPr>
        <w:tc>
          <w:tcPr>
            <w:tcW w:w="15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5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5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0" w:hRule="atLeast"/>
        </w:trPr>
        <w:tc>
          <w:tcPr>
            <w:tcW w:w="15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4" w:hRule="atLeast"/>
        </w:trPr>
        <w:tc>
          <w:tcPr>
            <w:tcW w:w="1513" w:type="dxa"/>
            <w:vAlign w:val="top"/>
          </w:tcPr>
          <w:p>
            <w:pPr>
              <w:pStyle w:val="TableText"/>
              <w:ind w:left="245"/>
              <w:spacing w:before="39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606060"/>
                <w:spacing w:val="3"/>
              </w:rPr>
              <w:t>内部监督</w:t>
            </w:r>
          </w:p>
          <w:p>
            <w:pPr>
              <w:pStyle w:val="TableText"/>
              <w:ind w:left="124"/>
              <w:spacing w:before="43" w:line="203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9"/>
              </w:rPr>
              <w:t>人员(签字)</w:t>
            </w:r>
          </w:p>
        </w:tc>
        <w:tc>
          <w:tcPr>
            <w:tcW w:w="68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619" w:hanging="619"/>
        <w:spacing w:before="148" w:line="355" w:lineRule="auto"/>
        <w:rPr>
          <w:sz w:val="23"/>
          <w:szCs w:val="23"/>
        </w:rPr>
      </w:pPr>
      <w:r>
        <w:rPr>
          <w:sz w:val="23"/>
          <w:szCs w:val="23"/>
          <w:spacing w:val="13"/>
        </w:rPr>
        <w:t>注：定标报告及相关附件作为《招投标情况书面报告》的内</w:t>
      </w:r>
      <w:r>
        <w:rPr>
          <w:sz w:val="23"/>
          <w:szCs w:val="23"/>
          <w:spacing w:val="12"/>
        </w:rPr>
        <w:t>容，在规定时间内报送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7"/>
        </w:rPr>
        <w:t>相关行政监督部门。</w:t>
      </w:r>
    </w:p>
    <w:sectPr>
      <w:footerReference w:type="default" r:id="rId13"/>
      <w:pgSz w:w="11900" w:h="16830"/>
      <w:pgMar w:top="1430" w:right="1560" w:bottom="1793" w:left="1599" w:header="0" w:footer="14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0"/>
      <w:spacing w:line="266" w:lineRule="exact"/>
      <w:rPr>
        <w:rFonts w:ascii="Times New Roman" w:hAnsi="Times New Roman" w:eastAsia="Times New Roman" w:cs="Times New Roma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1"/>
        <w:w w:val="98"/>
        <w:position w:val="-4"/>
      </w:rPr>
      <w:t>—</w:t>
    </w:r>
    <w:r>
      <w:rPr>
        <w:rFonts w:ascii="SimSun" w:hAnsi="SimSun" w:eastAsia="SimSun" w:cs="SimSun"/>
        <w:sz w:val="36"/>
        <w:szCs w:val="36"/>
        <w:spacing w:val="-99"/>
        <w:position w:val="-4"/>
      </w:rPr>
      <w:t xml:space="preserve"> </w:t>
    </w:r>
    <w:r>
      <w:rPr>
        <w:rFonts w:ascii="Times New Roman" w:hAnsi="Times New Roman" w:eastAsia="Times New Roman" w:cs="Times New Roman"/>
        <w:sz w:val="36"/>
        <w:szCs w:val="36"/>
        <w:spacing w:val="-31"/>
        <w:w w:val="98"/>
        <w:position w:val="-4"/>
      </w:rPr>
      <w:t>1—</w:t>
    </w:r>
  </w:p>
  <w:p>
    <w:pPr>
      <w:ind w:left="7370"/>
      <w:spacing w:line="0" w:lineRule="exact"/>
      <w:rPr/>
    </w:pPr>
    <w:r>
      <w:rPr/>
      <w:drawing>
        <wp:inline distT="0" distB="0" distL="0" distR="0">
          <wp:extent cx="209542" cy="62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09542" cy="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0"/>
      <w:spacing w:line="234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11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75"/>
      <w:spacing w:before="1" w:line="174" w:lineRule="auto"/>
      <w:rPr>
        <w:rFonts w:ascii="Times New Roman" w:hAnsi="Times New Roman" w:eastAsia="Times New Roman" w:cs="Times New Roma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6"/>
      </w:rPr>
      <w:t>—</w:t>
    </w:r>
    <w:r>
      <w:rPr>
        <w:rFonts w:ascii="Times New Roman" w:hAnsi="Times New Roman" w:eastAsia="Times New Roman" w:cs="Times New Roman"/>
        <w:sz w:val="33"/>
        <w:szCs w:val="33"/>
        <w:spacing w:val="6"/>
      </w:rPr>
      <w:t>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24"/>
      <w:spacing w:line="175" w:lineRule="auto"/>
      <w:rPr>
        <w:rFonts w:ascii="Times New Roman" w:hAnsi="Times New Roman" w:eastAsia="Times New Roman" w:cs="Times New Roman"/>
        <w:sz w:val="35"/>
        <w:szCs w:val="35"/>
      </w:rPr>
    </w:pPr>
    <w:r>
      <w:rPr>
        <w:rFonts w:ascii="SimSun" w:hAnsi="SimSun" w:eastAsia="SimSun" w:cs="SimSun"/>
        <w:sz w:val="35"/>
        <w:szCs w:val="35"/>
        <w:spacing w:val="-6"/>
      </w:rPr>
      <w:t>—</w:t>
    </w:r>
    <w:r>
      <w:rPr>
        <w:rFonts w:ascii="Times New Roman" w:hAnsi="Times New Roman" w:eastAsia="Times New Roman" w:cs="Times New Roman"/>
        <w:sz w:val="35"/>
        <w:szCs w:val="35"/>
        <w:spacing w:val="-6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0"/>
      <w:spacing w:before="1" w:line="174" w:lineRule="auto"/>
      <w:rPr>
        <w:rFonts w:ascii="Times New Roman" w:hAnsi="Times New Roman" w:eastAsia="Times New Roman" w:cs="Times New Roman"/>
        <w:sz w:val="35"/>
        <w:szCs w:val="35"/>
      </w:rPr>
    </w:pPr>
    <w:r>
      <w:rPr>
        <w:rFonts w:ascii="SimSun" w:hAnsi="SimSun" w:eastAsia="SimSun" w:cs="SimSun"/>
        <w:sz w:val="35"/>
        <w:szCs w:val="35"/>
        <w:spacing w:val="-8"/>
      </w:rPr>
      <w:t>—</w:t>
    </w:r>
    <w:r>
      <w:rPr>
        <w:rFonts w:ascii="Times New Roman" w:hAnsi="Times New Roman" w:eastAsia="Times New Roman" w:cs="Times New Roman"/>
        <w:sz w:val="35"/>
        <w:szCs w:val="35"/>
        <w:spacing w:val="-8"/>
      </w:rPr>
      <w:t>13—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0"/>
      <w:spacing w:before="1" w:line="235" w:lineRule="auto"/>
      <w:rPr>
        <w:rFonts w:ascii="SimSun" w:hAnsi="SimSun" w:eastAsia="SimSun" w:cs="SimSun"/>
        <w:sz w:val="37"/>
        <w:szCs w:val="37"/>
      </w:rPr>
    </w:pPr>
    <w:r>
      <w:rPr>
        <w:rFonts w:ascii="SimSun" w:hAnsi="SimSun" w:eastAsia="SimSun" w:cs="SimSun"/>
        <w:sz w:val="37"/>
        <w:szCs w:val="37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4"/>
      <w:spacing w:before="1" w:line="234" w:lineRule="auto"/>
      <w:rPr>
        <w:rFonts w:ascii="SimSun" w:hAnsi="SimSun" w:eastAsia="SimSun" w:cs="SimSun"/>
        <w:sz w:val="37"/>
        <w:szCs w:val="37"/>
      </w:rPr>
    </w:pPr>
    <w:r>
      <w:rPr>
        <w:rFonts w:ascii="SimSun" w:hAnsi="SimSun" w:eastAsia="SimSun" w:cs="SimSun"/>
        <w:sz w:val="37"/>
        <w:szCs w:val="37"/>
        <w:spacing w:val="-1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0"/>
      <w:spacing w:before="1" w:line="235" w:lineRule="auto"/>
      <w:rPr>
        <w:rFonts w:ascii="SimSun" w:hAnsi="SimSun" w:eastAsia="SimSun" w:cs="SimSun"/>
        <w:sz w:val="37"/>
        <w:szCs w:val="37"/>
      </w:rPr>
    </w:pPr>
    <w:r>
      <w:rPr>
        <w:rFonts w:ascii="SimSun" w:hAnsi="SimSun" w:eastAsia="SimSun" w:cs="SimSun"/>
        <w:sz w:val="37"/>
        <w:szCs w:val="37"/>
        <w:spacing w:val="-9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0"/>
      <w:spacing w:before="1" w:line="234" w:lineRule="auto"/>
      <w:rPr>
        <w:rFonts w:ascii="SimSun" w:hAnsi="SimSun" w:eastAsia="SimSun" w:cs="SimSun"/>
        <w:sz w:val="37"/>
        <w:szCs w:val="37"/>
      </w:rPr>
    </w:pPr>
    <w:r>
      <w:rPr>
        <w:rFonts w:ascii="SimSun" w:hAnsi="SimSun" w:eastAsia="SimSun" w:cs="SimSun"/>
        <w:sz w:val="37"/>
        <w:szCs w:val="37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0"/>
      <w:spacing w:line="180" w:lineRule="auto"/>
      <w:rPr>
        <w:rFonts w:ascii="Times New Roman" w:hAnsi="Times New Roman" w:eastAsia="Times New Roman" w:cs="Times New Roman"/>
        <w:sz w:val="26"/>
        <w:szCs w:val="26"/>
      </w:rPr>
    </w:pPr>
    <w:r>
      <w:rPr>
        <w:rFonts w:ascii="SimHei" w:hAnsi="SimHei" w:eastAsia="SimHei" w:cs="SimHei"/>
        <w:sz w:val="4"/>
        <w:szCs w:val="4"/>
        <w:spacing w:val="-5"/>
        <w:position w:val="5"/>
      </w:rPr>
      <w:t>一</w:t>
    </w:r>
    <w:r>
      <w:rPr>
        <w:rFonts w:ascii="SimHei" w:hAnsi="SimHei" w:eastAsia="SimHei" w:cs="SimHei"/>
        <w:sz w:val="4"/>
        <w:szCs w:val="4"/>
        <w:position w:val="5"/>
      </w:rPr>
      <w:t xml:space="preserve">              </w:t>
    </w:r>
    <w:r>
      <w:rPr>
        <w:rFonts w:ascii="Times New Roman" w:hAnsi="Times New Roman" w:eastAsia="Times New Roman" w:cs="Times New Roman"/>
        <w:sz w:val="26"/>
        <w:szCs w:val="26"/>
        <w:spacing w:val="-5"/>
      </w:rPr>
      <w:t>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05"/>
      <w:spacing w:before="1" w:line="234" w:lineRule="auto"/>
      <w:rPr>
        <w:rFonts w:ascii="SimSun" w:hAnsi="SimSun" w:eastAsia="SimSun" w:cs="SimSun"/>
        <w:sz w:val="37"/>
        <w:szCs w:val="37"/>
      </w:rPr>
    </w:pPr>
    <w:r>
      <w:rPr>
        <w:rFonts w:ascii="SimSun" w:hAnsi="SimSun" w:eastAsia="SimSun" w:cs="SimSun"/>
        <w:sz w:val="37"/>
        <w:szCs w:val="37"/>
        <w:spacing w:val="-9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4"/>
      <w:spacing w:before="1" w:line="234" w:lineRule="auto"/>
      <w:rPr>
        <w:rFonts w:ascii="SimSun" w:hAnsi="SimSun" w:eastAsia="SimSun" w:cs="SimSun"/>
        <w:sz w:val="38"/>
        <w:szCs w:val="38"/>
      </w:rPr>
    </w:pPr>
    <w:r>
      <w:rPr>
        <w:rFonts w:ascii="SimSun" w:hAnsi="SimSun" w:eastAsia="SimSun" w:cs="SimSun"/>
        <w:sz w:val="38"/>
        <w:szCs w:val="38"/>
        <w:spacing w:val="-14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00"/>
      <w:spacing w:line="234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2025-09-03T17:38:19Z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2025-09-03T17:38:20</vt:filetime>
  </property>
  <property fmtid="{D5CDD505-2E9C-101B-9397-08002B2CF9AE}" pid="4" name="UsrData">
    <vt:lpwstr>68b80c8884e467001f979ae5wl</vt:lpwstr>
  </property>
</Properties>
</file>