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2CF04">
      <w:pPr>
        <w:rPr>
          <w:rFonts w:hint="default" w:ascii="Times New Roman" w:hAnsi="Times New Roman" w:eastAsia="黑体" w:cs="Times New Roman"/>
          <w:color w:val="333333"/>
          <w:sz w:val="32"/>
          <w:szCs w:val="32"/>
          <w:highlight w:val="none"/>
        </w:rPr>
      </w:pPr>
      <w:r>
        <w:rPr>
          <w:rFonts w:hint="default" w:ascii="Times New Roman" w:hAnsi="Times New Roman" w:eastAsia="黑体" w:cs="Times New Roman"/>
          <w:color w:val="333333"/>
          <w:sz w:val="32"/>
          <w:szCs w:val="32"/>
          <w:highlight w:val="none"/>
        </w:rPr>
        <w:t>附  件</w:t>
      </w:r>
    </w:p>
    <w:p w14:paraId="58E0083C">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 w:eastAsia="zh-CN"/>
        </w:rPr>
        <w:t>2</w:t>
      </w:r>
      <w:bookmarkStart w:id="0" w:name="_GoBack"/>
      <w:r>
        <w:rPr>
          <w:rFonts w:hint="default" w:ascii="Times New Roman" w:hAnsi="Times New Roman" w:eastAsia="方正小标宋简体" w:cs="Times New Roman"/>
          <w:sz w:val="44"/>
          <w:szCs w:val="44"/>
          <w:highlight w:val="none"/>
          <w:lang w:val="en" w:eastAsia="zh-CN"/>
        </w:rPr>
        <w:t>025年度</w:t>
      </w:r>
      <w:r>
        <w:rPr>
          <w:rFonts w:hint="default" w:ascii="Times New Roman" w:hAnsi="Times New Roman" w:eastAsia="方正小标宋简体" w:cs="Times New Roman"/>
          <w:sz w:val="44"/>
          <w:szCs w:val="44"/>
          <w:highlight w:val="none"/>
          <w:lang w:eastAsia="zh-CN"/>
        </w:rPr>
        <w:t>住房城乡建设领域“四新”技术</w:t>
      </w:r>
      <w:r>
        <w:rPr>
          <w:rFonts w:hint="default" w:ascii="Times New Roman" w:hAnsi="Times New Roman" w:eastAsia="方正小标宋简体" w:cs="Times New Roman"/>
          <w:sz w:val="44"/>
          <w:szCs w:val="44"/>
          <w:highlight w:val="none"/>
          <w:lang w:val="en-US" w:eastAsia="zh-CN"/>
        </w:rPr>
        <w:t>推广应用</w:t>
      </w:r>
      <w:r>
        <w:rPr>
          <w:rFonts w:hint="default" w:ascii="Times New Roman" w:hAnsi="Times New Roman" w:eastAsia="方正小标宋简体" w:cs="Times New Roman"/>
          <w:sz w:val="44"/>
          <w:szCs w:val="44"/>
          <w:highlight w:val="none"/>
        </w:rPr>
        <w:t>目录</w:t>
      </w:r>
      <w:bookmarkEnd w:id="0"/>
    </w:p>
    <w:p w14:paraId="6FFDA499">
      <w:pPr>
        <w:jc w:val="center"/>
        <w:rPr>
          <w:rFonts w:hint="default" w:ascii="Times New Roman" w:hAnsi="Times New Roman" w:eastAsia="楷体" w:cs="Times New Roman"/>
          <w:sz w:val="36"/>
          <w:szCs w:val="36"/>
          <w:highlight w:val="none"/>
          <w:lang w:val="en-US" w:eastAsia="zh-CN"/>
        </w:rPr>
      </w:pPr>
      <w:r>
        <w:rPr>
          <w:rFonts w:hint="default" w:ascii="Times New Roman" w:hAnsi="Times New Roman" w:eastAsia="楷体" w:cs="Times New Roman"/>
          <w:sz w:val="36"/>
          <w:szCs w:val="36"/>
          <w:highlight w:val="none"/>
          <w:lang w:val="en-US" w:eastAsia="zh-CN"/>
        </w:rPr>
        <w:t>住宅品质提升</w:t>
      </w:r>
      <w:r>
        <w:rPr>
          <w:rFonts w:hint="eastAsia" w:ascii="Times New Roman" w:hAnsi="Times New Roman" w:eastAsia="楷体" w:cs="Times New Roman"/>
          <w:sz w:val="36"/>
          <w:szCs w:val="36"/>
          <w:highlight w:val="none"/>
          <w:lang w:val="en-US" w:eastAsia="zh-CN"/>
        </w:rPr>
        <w:t>方面</w:t>
      </w:r>
    </w:p>
    <w:tbl>
      <w:tblPr>
        <w:tblStyle w:val="4"/>
        <w:tblW w:w="14083"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24"/>
        <w:gridCol w:w="1119"/>
        <w:gridCol w:w="1760"/>
        <w:gridCol w:w="6136"/>
        <w:gridCol w:w="2420"/>
        <w:gridCol w:w="1924"/>
      </w:tblGrid>
      <w:tr w14:paraId="5926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587" w:hRule="atLeast"/>
          <w:tblHeader/>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068EBF">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序号</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1D260E">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四新类别</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20B693">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技术/产品名称</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D6EE3">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主要技术简介</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27A9B">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适用范围</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0E02A">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highlight w:val="none"/>
                <w:u w:val="none"/>
                <w:lang w:val="en-US" w:eastAsia="zh-CN" w:bidi="ar-SA"/>
              </w:rPr>
            </w:pPr>
            <w:r>
              <w:rPr>
                <w:rFonts w:hint="default" w:ascii="Times New Roman" w:hAnsi="Times New Roman" w:eastAsia="黑体" w:cs="Times New Roman"/>
                <w:i w:val="0"/>
                <w:iCs w:val="0"/>
                <w:color w:val="000000"/>
                <w:kern w:val="0"/>
                <w:sz w:val="22"/>
                <w:szCs w:val="22"/>
                <w:highlight w:val="none"/>
                <w:u w:val="none"/>
                <w:lang w:val="en-US" w:eastAsia="zh-CN" w:bidi="ar"/>
              </w:rPr>
              <w:t>单位名称</w:t>
            </w:r>
          </w:p>
        </w:tc>
      </w:tr>
      <w:tr w14:paraId="5C60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030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CB4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EBD5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辐射供暖地面防开裂施工技术</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D88D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针对辐射供暖地面因干缩、湿胀及温差应力易产生裂缝的问题，通过建立裂缝预测模型，提出V型诱导缝等综合措施，有效减少裂缝产生，降低后期维护成本。</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A142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适用于辐射供暖地面的施工。</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6373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中电建十一局工程有限公司</w:t>
            </w:r>
          </w:p>
        </w:tc>
      </w:tr>
      <w:tr w14:paraId="5EA7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D42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575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FA0AB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新型聚氨酯发泡整体卫浴</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B74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采用“镀锌板+高密度聚氨酯硬质发泡+饰面层”一体化成型技术，形成聚氨酯发泡整体卫浴产品，实现整体卫浴的柔性化定制与工业化生产。</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5DB0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适用于房屋建筑工程。</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FF87D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万华生态新家装（河南）有限公司</w:t>
            </w:r>
          </w:p>
        </w:tc>
      </w:tr>
      <w:tr w14:paraId="3313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3F5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668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9B91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改性无机粉复合建筑饰面片材</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C3CB0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以改性土为主要原料，通过低温烧制，生产了无机外墙材料，提升了外墙装饰表面观感及耐久性。</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0F76A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适用于房屋建筑工程外墙装饰。</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C2D3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广东格美软瓷科技有限公司</w:t>
            </w:r>
          </w:p>
        </w:tc>
      </w:tr>
      <w:tr w14:paraId="33E46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C99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729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59FC9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蒸压加气混凝土复合保温墙板</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4EC82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该产品经工厂预制</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由内、外叶蒸压加气混凝土板、保温板组成的复合保温墙板，通过工艺处理，提升了墙体的防火、保温、隔音等性能。</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1B4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适用于房屋建筑工程。</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19394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焦作市泓都再生资源有限公司</w:t>
            </w:r>
          </w:p>
        </w:tc>
      </w:tr>
      <w:tr w14:paraId="292B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5DCE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5</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CC5C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新材料</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15653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纯无机健康功能涂料</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085D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以地质聚合物为主要原材料，利用电气石、贵宝石、黄河玉、麦饭石等按一定比例复合，经加工后形成的环境友好型内墙涂料。</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99E4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000000"/>
                <w:kern w:val="0"/>
                <w:sz w:val="21"/>
                <w:szCs w:val="21"/>
                <w:highlight w:val="none"/>
                <w:u w:val="none"/>
                <w:lang w:val="en-US" w:eastAsia="zh-CN" w:bidi="ar"/>
              </w:rPr>
              <w:t>适用于</w:t>
            </w:r>
            <w:r>
              <w:rPr>
                <w:rFonts w:hint="default" w:ascii="Times New Roman" w:hAnsi="Times New Roman" w:eastAsia="宋体" w:cs="Times New Roman"/>
                <w:i w:val="0"/>
                <w:iCs w:val="0"/>
                <w:color w:val="auto"/>
                <w:kern w:val="0"/>
                <w:sz w:val="21"/>
                <w:szCs w:val="21"/>
                <w:highlight w:val="none"/>
                <w:u w:val="none"/>
                <w:lang w:val="en-US" w:eastAsia="zh-CN" w:bidi="ar"/>
              </w:rPr>
              <w:t>房屋建筑内墙装饰。</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BD9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郑州聚合缘新材料科技有限公司</w:t>
            </w:r>
          </w:p>
        </w:tc>
      </w:tr>
      <w:tr w14:paraId="0C07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8955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6</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DD0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EB19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石英砂分色喷铸成型柔性贴片石</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4DD5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该产品以天然石英砂、石粉为主要原料，复合高性能树脂，采用三维分色喷铸、一次成型工艺制作，具有天然石材的质感、纹理及理化特性，以及轻质、柔韧、抗裂防水、耐候性好、施工便捷、环境友好等特点。</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F0CB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000000"/>
                <w:kern w:val="0"/>
                <w:sz w:val="21"/>
                <w:szCs w:val="21"/>
                <w:highlight w:val="none"/>
                <w:u w:val="none"/>
                <w:lang w:val="en-US" w:eastAsia="zh-CN" w:bidi="ar"/>
              </w:rPr>
              <w:t>适用于</w:t>
            </w:r>
            <w:r>
              <w:rPr>
                <w:rFonts w:hint="default" w:ascii="Times New Roman" w:hAnsi="Times New Roman" w:eastAsia="宋体" w:cs="Times New Roman"/>
                <w:i w:val="0"/>
                <w:iCs w:val="0"/>
                <w:color w:val="auto"/>
                <w:kern w:val="0"/>
                <w:sz w:val="21"/>
                <w:szCs w:val="21"/>
                <w:highlight w:val="none"/>
                <w:u w:val="none"/>
                <w:lang w:val="en-US" w:eastAsia="zh-CN" w:bidi="ar"/>
              </w:rPr>
              <w:t>房屋建筑工程的内外墙立面装饰。</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2401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浙江久石工研建材科技有限公司</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河南省建设工程设计有限责任公司</w:t>
            </w:r>
          </w:p>
        </w:tc>
      </w:tr>
      <w:tr w14:paraId="6FFB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10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7D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7</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EE8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831E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绿色无醛多功能集成护墙板</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BD35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该产品以农林剩余物、小径原木、枝丫材、速生林、木材加工剩余物等原材料，添加无醛胶黏剂生产形成，是一种绿色无醛、阻燃的新型墙面装修材料。</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453E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适用于房屋建筑工程的内墙装修。</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E68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万华禾香集团股份有限公司</w:t>
            </w:r>
          </w:p>
        </w:tc>
      </w:tr>
      <w:tr w14:paraId="1C5F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CAC9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E4A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新产品、新工艺</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B9BC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石膏基自流平砂</w:t>
            </w:r>
            <w:r>
              <w:rPr>
                <w:rFonts w:hint="default" w:ascii="Times New Roman" w:hAnsi="Times New Roman" w:eastAsia="宋体" w:cs="Times New Roman"/>
                <w:i w:val="0"/>
                <w:iCs w:val="0"/>
                <w:color w:val="auto"/>
                <w:spacing w:val="-11"/>
                <w:kern w:val="0"/>
                <w:sz w:val="21"/>
                <w:szCs w:val="21"/>
                <w:highlight w:val="none"/>
                <w:u w:val="none"/>
                <w:shd w:val="clear" w:color="auto" w:fill="auto"/>
                <w:lang w:val="en-US" w:eastAsia="zh-CN" w:bidi="ar"/>
              </w:rPr>
              <w:t>浆与保温隔声系统</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4C23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以石膏为基材，外掺聚苯颗粒，制成微泡发泡型自流平砂浆，用于楼面保温隔声系统，可有效提升楼面保温隔音性能。</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C155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适用于房屋建筑工程的楼面。</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6A6A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河南强耐新材股份有限公司</w:t>
            </w:r>
          </w:p>
        </w:tc>
      </w:tr>
      <w:tr w14:paraId="1BDC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AF8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9</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0F30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EB5CA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空心玻璃微珠隔热涂料</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BA7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该产品以空心玻璃微珠为基材，通过与耐候性水性乳液、高性能填料等材料经特殊工艺合成的高性能隔热保温涂层材料，用于建筑物隔热涂料，具有厚度薄、重量轻、粘结强度高、耐候性好、施工便捷等优点。</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6C36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适用于房屋建筑工程的外墙隔热。</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7910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郑州圣莱特空心微珠新材料有限公司</w:t>
            </w:r>
          </w:p>
        </w:tc>
      </w:tr>
      <w:tr w14:paraId="1EFE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497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lang w:val="en-US"/>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E68B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EED2F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数字化室内装配式装修集成平台</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A7E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该产品融合点云测量、AI设计、BIM建模、工艺标准与C2M制造等技术，可实现材料预排版、预切割与编号入场等功能，提升了设计与施工效率。</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4FCDA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适用于建筑工程室内装修。</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3CBF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中鼎（河南）建筑研究院有限公司</w:t>
            </w:r>
          </w:p>
        </w:tc>
      </w:tr>
      <w:tr w14:paraId="7053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EA65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lang w:val="en-US"/>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D6E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5D622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建筑用真空陶瓷微珠绝热系统</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5B2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该产品基于热物理波、热平衡转移的基本特征，通过金属氧化物微结构骨架材料形成的</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界面</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绝热围合体系，可提升建筑外墙和管道隔热性能。</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AE4AA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适用于工业与民用建筑的隔热工程。</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70BE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浙江威廉姆节能科技有限公司</w:t>
            </w:r>
          </w:p>
        </w:tc>
      </w:tr>
      <w:tr w14:paraId="755D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1DC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lang w:val="en-US"/>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12</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EAE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820B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钢丝网架珍珠岩复合保温墙板</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90C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该产品是珍珠岩板与保温材料复合而成的具有三维钢丝网架结构的复合板材，通过装配式现场喷浆抹灰实现保温一体化。具有防火、保温性能好、施工便捷等优点。</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10EB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适用于混凝土剪力墙结构、框架结构、钢结构等工程。</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AAE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河南卉原建材有限公司</w:t>
            </w:r>
          </w:p>
        </w:tc>
      </w:tr>
      <w:tr w14:paraId="1A63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7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B2C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lang w:val="en-US"/>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925A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44B0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建筑光储直柔供电智能调控系统</w:t>
            </w:r>
          </w:p>
        </w:tc>
        <w:tc>
          <w:tcPr>
            <w:tcW w:w="6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9006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该技术综合运用太阳能光伏、储能、直流配电和柔性供电等技术，通过智能化的能源调控手段，可实现建筑能源的智能分配和管理。</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839D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000000"/>
                <w:sz w:val="21"/>
                <w:szCs w:val="21"/>
                <w:highlight w:val="none"/>
                <w:u w:val="none"/>
              </w:rPr>
            </w:pPr>
            <w:r>
              <w:rPr>
                <w:rFonts w:hint="eastAsia" w:ascii="Times New Roman" w:hAnsi="Times New Roman" w:eastAsia="宋体" w:cs="Times New Roman"/>
                <w:i w:val="0"/>
                <w:iCs w:val="0"/>
                <w:color w:val="000000"/>
                <w:kern w:val="0"/>
                <w:sz w:val="21"/>
                <w:szCs w:val="21"/>
                <w:highlight w:val="none"/>
                <w:u w:val="none"/>
                <w:lang w:val="en-US" w:eastAsia="zh-CN" w:bidi="ar"/>
              </w:rPr>
              <w:t>适用于</w:t>
            </w:r>
            <w:r>
              <w:rPr>
                <w:rFonts w:hint="default" w:ascii="Times New Roman" w:hAnsi="Times New Roman" w:eastAsia="宋体" w:cs="Times New Roman"/>
                <w:i w:val="0"/>
                <w:iCs w:val="0"/>
                <w:color w:val="000000"/>
                <w:kern w:val="0"/>
                <w:sz w:val="21"/>
                <w:szCs w:val="21"/>
                <w:highlight w:val="none"/>
                <w:u w:val="none"/>
                <w:lang w:val="en-US" w:eastAsia="zh-CN" w:bidi="ar"/>
              </w:rPr>
              <w:t>建筑光储直柔工程。</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706F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河南五方合创建筑设计有限公司</w:t>
            </w:r>
          </w:p>
        </w:tc>
      </w:tr>
    </w:tbl>
    <w:p w14:paraId="50DEFF6B">
      <w:pPr>
        <w:rPr>
          <w:rFonts w:hint="default" w:ascii="Times New Roman" w:hAnsi="Times New Roman" w:eastAsia="楷体" w:cs="Times New Roman"/>
          <w:sz w:val="36"/>
          <w:szCs w:val="36"/>
          <w:highlight w:val="none"/>
          <w:lang w:val="en-US" w:eastAsia="zh-CN"/>
        </w:rPr>
      </w:pPr>
      <w:r>
        <w:rPr>
          <w:rFonts w:hint="default" w:ascii="Times New Roman" w:hAnsi="Times New Roman" w:eastAsia="楷体" w:cs="Times New Roman"/>
          <w:sz w:val="36"/>
          <w:szCs w:val="36"/>
          <w:highlight w:val="none"/>
          <w:lang w:val="en-US" w:eastAsia="zh-CN"/>
        </w:rPr>
        <w:br w:type="page"/>
      </w:r>
    </w:p>
    <w:p w14:paraId="5A7B2B2B">
      <w:pPr>
        <w:jc w:val="center"/>
        <w:rPr>
          <w:rFonts w:hint="default" w:ascii="Times New Roman" w:hAnsi="Times New Roman" w:eastAsia="楷体" w:cs="Times New Roman"/>
          <w:sz w:val="36"/>
          <w:szCs w:val="36"/>
          <w:highlight w:val="none"/>
          <w:lang w:val="en-US" w:eastAsia="zh-CN"/>
        </w:rPr>
      </w:pPr>
      <w:r>
        <w:rPr>
          <w:rFonts w:hint="default" w:ascii="Times New Roman" w:hAnsi="Times New Roman" w:eastAsia="楷体" w:cs="Times New Roman"/>
          <w:sz w:val="36"/>
          <w:szCs w:val="36"/>
          <w:highlight w:val="none"/>
          <w:lang w:val="en-US" w:eastAsia="zh-CN"/>
        </w:rPr>
        <w:t>房屋</w:t>
      </w:r>
      <w:r>
        <w:rPr>
          <w:rFonts w:hint="eastAsia" w:ascii="Times New Roman" w:hAnsi="Times New Roman" w:eastAsia="楷体" w:cs="Times New Roman"/>
          <w:sz w:val="36"/>
          <w:szCs w:val="36"/>
          <w:highlight w:val="none"/>
          <w:lang w:val="en-US" w:eastAsia="zh-CN"/>
        </w:rPr>
        <w:t>建设工程方面</w:t>
      </w:r>
    </w:p>
    <w:tbl>
      <w:tblPr>
        <w:tblStyle w:val="4"/>
        <w:tblW w:w="14069"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24"/>
        <w:gridCol w:w="1119"/>
        <w:gridCol w:w="1757"/>
        <w:gridCol w:w="6160"/>
        <w:gridCol w:w="2410"/>
        <w:gridCol w:w="1899"/>
      </w:tblGrid>
      <w:tr w14:paraId="1DDE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tblHeader/>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F841E0">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序号</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B83348">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四新类别</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E76715">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技术/产品名称</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89E16">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主要技术简介</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4E565">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适用范围</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42DD29">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highlight w:val="none"/>
                <w:u w:val="none"/>
                <w:lang w:val="en-US" w:eastAsia="zh-CN" w:bidi="ar-SA"/>
              </w:rPr>
            </w:pPr>
            <w:r>
              <w:rPr>
                <w:rFonts w:hint="default" w:ascii="Times New Roman" w:hAnsi="Times New Roman" w:eastAsia="黑体" w:cs="Times New Roman"/>
                <w:i w:val="0"/>
                <w:iCs w:val="0"/>
                <w:color w:val="000000"/>
                <w:kern w:val="0"/>
                <w:sz w:val="22"/>
                <w:szCs w:val="22"/>
                <w:highlight w:val="none"/>
                <w:u w:val="none"/>
                <w:lang w:val="en-US" w:eastAsia="zh-CN" w:bidi="ar"/>
              </w:rPr>
              <w:t>单位名称</w:t>
            </w:r>
          </w:p>
        </w:tc>
      </w:tr>
      <w:tr w14:paraId="0FE5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8390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B2B7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3641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装配式金属防水屋面快速施工技术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F6753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本技术采用</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装配式施工</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与</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一体化防水</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协同创新模式，在工厂将金属面板与防水层通过热压工艺复合成型，形成兼具结构承载与防水功能的集成模块，现场通过专用机具同步完成屋面板铺装与防水层铺设，突破传统</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先安装结构层、后加设防水层</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的分步作业模式。</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44AB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适用于大型交通枢纽、体育场馆、工业厂房等大跨度建筑的金属屋面板的防水施工。</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6BB60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河南省建设集团有限公司</w:t>
            </w:r>
          </w:p>
        </w:tc>
      </w:tr>
      <w:tr w14:paraId="4C34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1"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CA8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B4A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F94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蒙皮内置钢结构间冷塔安装测量精确定位技术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41F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针对</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多塔合一</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蒙皮内置钢结构间冷塔安装施工中的钢三角测量定位难题，采用全站仪与RTK测量手段和测量控制点</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多代一</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技术，形成一种复合测量技术体系，实现了钢结构间冷塔精准定位，提高了施工效率。</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EFB80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auto"/>
                <w:kern w:val="0"/>
                <w:sz w:val="21"/>
                <w:szCs w:val="21"/>
                <w:highlight w:val="none"/>
                <w:u w:val="none"/>
                <w:lang w:val="en-US" w:eastAsia="zh-CN" w:bidi="ar"/>
              </w:rPr>
              <w:t>适用于</w:t>
            </w:r>
            <w:r>
              <w:rPr>
                <w:rFonts w:hint="default" w:ascii="Times New Roman" w:hAnsi="Times New Roman" w:eastAsia="宋体" w:cs="Times New Roman"/>
                <w:i w:val="0"/>
                <w:iCs w:val="0"/>
                <w:color w:val="auto"/>
                <w:kern w:val="0"/>
                <w:sz w:val="21"/>
                <w:szCs w:val="21"/>
                <w:highlight w:val="none"/>
                <w:u w:val="none"/>
                <w:lang w:val="en-US" w:eastAsia="zh-CN" w:bidi="ar"/>
              </w:rPr>
              <w:t>高耸钢结构构筑物钢骨架空间定位</w:t>
            </w: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683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河南省第二建设集团有限公司</w:t>
            </w:r>
          </w:p>
        </w:tc>
      </w:tr>
      <w:tr w14:paraId="23616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B1CD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983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新材料、新工艺</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3FE8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新型生态环保自密实抗渗流态固化土应用</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0785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利用包括低聚物在内的土壤固化剂，通过工艺创新配置不同性能要求的流态固化土，提高了流态固化土的强度、抗渗等性能，可降低工程造价、减少建筑垃圾和固废排放。</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4E8D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适用于建筑与市政、水利工程领域的路基与软土地基处理、基坑回填、边坡加固、防渗墙工程。</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86ECD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中建三局集团有限公司，郑州赛诺建材有限公司，中建七局第二建筑有限公司</w:t>
            </w:r>
          </w:p>
        </w:tc>
      </w:tr>
      <w:tr w14:paraId="0DAA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FBF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F3D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27ACF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幕墙骨架模块化装配式施工技术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4506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针对异形幕墙施工周期长、精度控制难等问题，通过BIM数字化设计技术和模块化生产与现场吊装工艺，实现了现场施工的精准控制、提高了施工效率。</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203B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适用于异形幕墙施工。</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36FC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中建七局建筑装饰工程有限公司</w:t>
            </w:r>
          </w:p>
        </w:tc>
      </w:tr>
      <w:tr w14:paraId="4E56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1046"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C29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5</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7C6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DA211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基于</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BIM+C#辅助施工技术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4F33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以BIM技术为基础，融合C#二次开发，形成构件自动处理、数据提取、深化着色等关键技术，实现全流程数据无缝衔接，提升复杂机电管线等工程建模效率与施工质量，降低成本。</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2C171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适用于工业与民用建筑的结构工程、复杂机电管线工程、幕墙工程等。</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E198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中建七局建筑装饰工程有限公司</w:t>
            </w:r>
          </w:p>
        </w:tc>
      </w:tr>
      <w:tr w14:paraId="0075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7D5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6</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D5C9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5789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气凝胶复合轻集料保温材料</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D1C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该产品通过多元复合（纳米材料、纤维等）和工艺创新，制作形成一种新型墙体保温材料，可实现保温材料轻量化、高强度与隔热、隔音性能的协同，具有憎水性、耐候性好的特点。</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662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适用于建筑高度不大于100m的工业与民用建筑工程。</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790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西安方元绿洲新材料科技有限公司</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河南省建设工程设计有限责任公司</w:t>
            </w:r>
          </w:p>
        </w:tc>
      </w:tr>
      <w:tr w14:paraId="3077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C37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7</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E2F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2F8C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多源协同施工能耗智联管理技术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983F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该技术以云端平台为载体，通过高频采集和低延时传输，结合AI能效分析与动态碳排计算，实现能耗实时监测、异常快速预警、节能优化调控和碳足迹精准管理。</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23D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适用于房屋建筑施工能耗管理。</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CBB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中建科技河南有限公司</w:t>
            </w:r>
          </w:p>
        </w:tc>
      </w:tr>
      <w:tr w14:paraId="7882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31EC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94DC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36C9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能源站装配式施工技术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7CDEB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该技术采用工厂预制、现场装配施工技术，引入BIM技术进行模块优化和布局，实现能源站装配化快速施工，提高了施工效率。</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AFB9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适用于能源站施工。</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A4099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河南创威智能装配科技有限公司</w:t>
            </w:r>
          </w:p>
        </w:tc>
      </w:tr>
      <w:tr w14:paraId="0636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A2D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9</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C8AC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B9B8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微创</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厨卫间渗漏水治理技术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4D2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该技术采用微膨胀、非发泡、粘结能力强的注浆材料对厨卫间基层、结合层等进行注浆处理，可实现厨卫间渗漏水微创治理。</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921B6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适用于房屋建筑工程厨卫间。</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27AE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河南蓝翎环科防水材料有限公司</w:t>
            </w:r>
          </w:p>
        </w:tc>
      </w:tr>
      <w:tr w14:paraId="7099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9"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E3C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lang w:val="en-US"/>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4AF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2D5D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两截一堵</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渗漏水治理技术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0DE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该技术针对后浇带、沉降缝等易渗漏区域渗漏治理难问题，通过迎水面高压注浆和侧面高压旋喷注浆等</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两截一堵</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技术和工艺，可实现后浇带、沉降缝等渗漏水患的治理。</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D25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适用于建筑与市政工程。</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B844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河南蓝翎环科防水材料有限公司</w:t>
            </w:r>
          </w:p>
        </w:tc>
      </w:tr>
      <w:tr w14:paraId="4571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463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lang w:val="en-US"/>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DBA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2C3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非开挖柔性防水与韧性支护渗漏水治理技术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3EC9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该技术采用专用设备穿透结构层，将专用注浆材料输送到渗漏水区域并形成新的防水层，以修复和增强原有防水层性能，可实现地下室、隧道、管廊等免开挖渗水治理。</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8ED7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适用于建筑与市政工程。</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D7CE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河南蓝翎环科防水材料有限公司</w:t>
            </w:r>
          </w:p>
        </w:tc>
      </w:tr>
      <w:tr w14:paraId="4A10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399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lang w:val="en-US"/>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12</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AF2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5F13C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AI辅助施工现场安全隐患预警技术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52E8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该技术基于</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智慧工地</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理念，通过安全帽、反光背心、塔吊等图像识别技术和多源耦合数据分析，可实现施工现场安全隐患识别与预警。</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9ED6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适用于建筑施工现场安全管理。</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EEF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中国建筑第七工程局有限公司</w:t>
            </w:r>
          </w:p>
        </w:tc>
      </w:tr>
      <w:tr w14:paraId="5EBC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47D5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lang w:val="en-US"/>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B58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3B9D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基于图像识别的钢结构工程现场安全管控技术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7B0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该技术基于</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BIM+GIS+智能安全帽+AI</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，通过信息技术与现场安全管理深度融合，可实现钢结构施工现场隐患风险智能识别、智能预警等功能。</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2D5A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适用于大型复杂钢结构工程施工现场安全管理。</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4719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郑州宝冶钢结构有限公司</w:t>
            </w:r>
          </w:p>
        </w:tc>
      </w:tr>
      <w:tr w14:paraId="16D2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DA0D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lang w:val="en-US"/>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4CD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F882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屋面光伏</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人字形</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支架新技术</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372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该技术采用新型</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人字形</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支架，优化了光伏阵列布局，可提高混凝土屋面利用率和抗倾覆安全性。</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F786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eastAsia" w:ascii="Times New Roman" w:hAnsi="Times New Roman" w:eastAsia="宋体" w:cs="Times New Roman"/>
                <w:i w:val="0"/>
                <w:iCs w:val="0"/>
                <w:color w:val="000000"/>
                <w:kern w:val="0"/>
                <w:sz w:val="21"/>
                <w:szCs w:val="21"/>
                <w:highlight w:val="none"/>
                <w:u w:val="none"/>
                <w:lang w:val="en-US" w:eastAsia="zh-CN" w:bidi="ar"/>
              </w:rPr>
              <w:t>适用于</w:t>
            </w:r>
            <w:r>
              <w:rPr>
                <w:rFonts w:hint="default" w:ascii="Times New Roman" w:hAnsi="Times New Roman" w:eastAsia="宋体" w:cs="Times New Roman"/>
                <w:i w:val="0"/>
                <w:iCs w:val="0"/>
                <w:color w:val="000000"/>
                <w:kern w:val="0"/>
                <w:sz w:val="21"/>
                <w:szCs w:val="21"/>
                <w:highlight w:val="none"/>
                <w:u w:val="none"/>
                <w:lang w:val="en-US" w:eastAsia="zh-CN" w:bidi="ar"/>
              </w:rPr>
              <w:t>混凝土平屋面光伏发电站。</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62BA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机械工业第六设计研究院有限公司</w:t>
            </w:r>
          </w:p>
        </w:tc>
      </w:tr>
      <w:tr w14:paraId="5429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374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lang w:val="en-US"/>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15</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01EA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DD5F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建筑能耗监测系统</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B2603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该技术通过对建筑室内外环境参数、能耗数据</w:t>
            </w: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、新能源发电量、碳排放量</w:t>
            </w: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等智能监测，并利用云平台实现对建筑或园区的专业化监测和管理。</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F7068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auto"/>
                <w:kern w:val="0"/>
                <w:sz w:val="21"/>
                <w:szCs w:val="21"/>
                <w:highlight w:val="none"/>
                <w:u w:val="none"/>
                <w:lang w:val="en-US" w:eastAsia="zh-CN" w:bidi="ar"/>
              </w:rPr>
              <w:t>适用于</w:t>
            </w:r>
            <w:r>
              <w:rPr>
                <w:rFonts w:hint="default" w:ascii="Times New Roman" w:hAnsi="Times New Roman" w:eastAsia="宋体" w:cs="Times New Roman"/>
                <w:i w:val="0"/>
                <w:iCs w:val="0"/>
                <w:color w:val="auto"/>
                <w:kern w:val="0"/>
                <w:sz w:val="21"/>
                <w:szCs w:val="21"/>
                <w:highlight w:val="none"/>
                <w:u w:val="none"/>
                <w:lang w:val="en-US" w:eastAsia="zh-CN" w:bidi="ar"/>
              </w:rPr>
              <w:t>建筑能耗监测与管理。</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A22F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河南五方合创建筑设计有限公司</w:t>
            </w:r>
          </w:p>
        </w:tc>
      </w:tr>
      <w:tr w14:paraId="530F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5D5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lang w:val="en-US"/>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16</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75D2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7C97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基于三维可视化的低碳节能智慧物联集成平台</w:t>
            </w:r>
          </w:p>
        </w:tc>
        <w:tc>
          <w:tcPr>
            <w:tcW w:w="6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689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该产品通过三维建模与物联网技术集成，可实现三维模型与设备信息联动、设备位置动态管理等功能。</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94E27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适用于各类建筑运维。</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30FE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天筑科技股份有限公司</w:t>
            </w:r>
          </w:p>
        </w:tc>
      </w:tr>
    </w:tbl>
    <w:p w14:paraId="45DFCBDC">
      <w:pPr>
        <w:rPr>
          <w:rFonts w:hint="default" w:ascii="Times New Roman" w:hAnsi="Times New Roman" w:eastAsia="楷体" w:cs="Times New Roman"/>
          <w:sz w:val="36"/>
          <w:szCs w:val="36"/>
          <w:highlight w:val="none"/>
          <w:lang w:val="en-US" w:eastAsia="zh-CN"/>
        </w:rPr>
      </w:pPr>
      <w:r>
        <w:rPr>
          <w:rFonts w:hint="default" w:ascii="Times New Roman" w:hAnsi="Times New Roman" w:eastAsia="楷体" w:cs="Times New Roman"/>
          <w:sz w:val="36"/>
          <w:szCs w:val="36"/>
          <w:highlight w:val="none"/>
          <w:lang w:val="en-US" w:eastAsia="zh-CN"/>
        </w:rPr>
        <w:br w:type="page"/>
      </w:r>
    </w:p>
    <w:p w14:paraId="2C0BC3CF">
      <w:pPr>
        <w:jc w:val="center"/>
        <w:rPr>
          <w:rFonts w:hint="default" w:ascii="Times New Roman" w:hAnsi="Times New Roman" w:eastAsia="楷体" w:cs="Times New Roman"/>
          <w:sz w:val="36"/>
          <w:szCs w:val="36"/>
          <w:highlight w:val="none"/>
          <w:lang w:val="en-US" w:eastAsia="zh-CN"/>
        </w:rPr>
      </w:pPr>
      <w:r>
        <w:rPr>
          <w:rFonts w:hint="eastAsia" w:ascii="Times New Roman" w:hAnsi="Times New Roman" w:eastAsia="楷体" w:cs="Times New Roman"/>
          <w:sz w:val="36"/>
          <w:szCs w:val="36"/>
          <w:highlight w:val="none"/>
          <w:lang w:val="en-US" w:eastAsia="zh-CN"/>
        </w:rPr>
        <w:t>市政基础设施方面</w:t>
      </w:r>
    </w:p>
    <w:tbl>
      <w:tblPr>
        <w:tblStyle w:val="4"/>
        <w:tblW w:w="14069"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24"/>
        <w:gridCol w:w="1119"/>
        <w:gridCol w:w="1870"/>
        <w:gridCol w:w="5787"/>
        <w:gridCol w:w="2410"/>
        <w:gridCol w:w="2159"/>
      </w:tblGrid>
      <w:tr w14:paraId="37A9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617" w:hRule="atLeast"/>
          <w:tblHeader/>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FEBA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序号</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DCC0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四新类别</w:t>
            </w:r>
          </w:p>
        </w:tc>
        <w:tc>
          <w:tcPr>
            <w:tcW w:w="18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6732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技术/产品名称</w:t>
            </w:r>
          </w:p>
        </w:tc>
        <w:tc>
          <w:tcPr>
            <w:tcW w:w="5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BA0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主要技术简介</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8A01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bidi="ar"/>
              </w:rPr>
              <w:t>适用范围</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B0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kern w:val="2"/>
                <w:sz w:val="22"/>
                <w:szCs w:val="22"/>
                <w:highlight w:val="none"/>
                <w:u w:val="none"/>
                <w:lang w:val="en-US" w:eastAsia="zh-CN" w:bidi="ar-SA"/>
              </w:rPr>
            </w:pPr>
            <w:r>
              <w:rPr>
                <w:rFonts w:hint="default" w:ascii="Times New Roman" w:hAnsi="Times New Roman" w:eastAsia="黑体" w:cs="Times New Roman"/>
                <w:i w:val="0"/>
                <w:iCs w:val="0"/>
                <w:color w:val="000000"/>
                <w:kern w:val="0"/>
                <w:sz w:val="22"/>
                <w:szCs w:val="22"/>
                <w:highlight w:val="none"/>
                <w:u w:val="none"/>
                <w:lang w:val="en-US" w:eastAsia="zh-CN" w:bidi="ar"/>
              </w:rPr>
              <w:t>单位名称</w:t>
            </w:r>
          </w:p>
        </w:tc>
      </w:tr>
      <w:tr w14:paraId="5A12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EB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68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CAE3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空气源热泵耦合燃气锅炉双能互补供热技术</w:t>
            </w:r>
          </w:p>
        </w:tc>
        <w:tc>
          <w:tcPr>
            <w:tcW w:w="5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9321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该技术利用空气源热泵+燃气模块锅炉耦合供热，使用空气源热泵承担基础负荷，燃气模块锅炉作为调峰热源，实现空气源热泵和燃气模块锅炉之间的高效协同供热。</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4F03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适用于寒冷地区、夏热冬冷地区的建筑工程。</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BBAD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郑州热力启源科技有限公司，郑州热力集团有限公司，郑州市颖达热力工程设计有限公司</w:t>
            </w:r>
          </w:p>
        </w:tc>
      </w:tr>
      <w:tr w14:paraId="6AAA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A34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7FB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347E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太阳能辅助的地热能-空气能热泵联合供热技术</w:t>
            </w:r>
          </w:p>
        </w:tc>
        <w:tc>
          <w:tcPr>
            <w:tcW w:w="5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348E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该技术利用空气源热泵、地源热泵、太阳能耦合供热，结合储能系统与智能调控平台，实现多能源互补协同供热。</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3344B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适用于寒冷地区、夏热冬冷地区的建筑工程。</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1DB88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郑州热力启源科技有限公司，中原工学院，郑州市颖达热力工程设计有限公司</w:t>
            </w:r>
          </w:p>
        </w:tc>
      </w:tr>
      <w:tr w14:paraId="2AEB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5F6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240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CDBF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太阳能相变储能供热技术</w:t>
            </w:r>
          </w:p>
        </w:tc>
        <w:tc>
          <w:tcPr>
            <w:tcW w:w="5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D78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该技术以太阳能供热技术为基础，通过低温相变材料进行热量储存与释放，提高太阳能利用效率。</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1A66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适用于</w:t>
            </w:r>
            <w:r>
              <w:rPr>
                <w:rFonts w:hint="default" w:ascii="Times New Roman" w:hAnsi="Times New Roman" w:eastAsia="宋体" w:cs="Times New Roman"/>
                <w:i w:val="0"/>
                <w:iCs w:val="0"/>
                <w:color w:val="auto"/>
                <w:kern w:val="0"/>
                <w:sz w:val="21"/>
                <w:szCs w:val="21"/>
                <w:highlight w:val="none"/>
                <w:u w:val="none"/>
                <w:lang w:val="en-US" w:eastAsia="zh-CN" w:bidi="ar"/>
              </w:rPr>
              <w:t>建筑工程太阳能供热。</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B196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河南居安供热技术有限公司</w:t>
            </w:r>
          </w:p>
        </w:tc>
      </w:tr>
      <w:tr w14:paraId="59F6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72A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99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新技术</w:t>
            </w:r>
          </w:p>
        </w:tc>
        <w:tc>
          <w:tcPr>
            <w:tcW w:w="1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E51D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污水处理厂反硝化深床滤池施工技术</w:t>
            </w:r>
          </w:p>
        </w:tc>
        <w:tc>
          <w:tcPr>
            <w:tcW w:w="5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C33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针对反硝化深床滤池内部管道复杂、安装空间狭小、滤砖安装和调试复杂等问题，采用信息化、装配化等技术和施工工艺创新，提高了廊道管道安装施工精度，缩短了施工周期。</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B6EB6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适用于</w:t>
            </w:r>
            <w:r>
              <w:rPr>
                <w:rFonts w:hint="default" w:ascii="Times New Roman" w:hAnsi="Times New Roman" w:eastAsia="宋体" w:cs="Times New Roman"/>
                <w:i w:val="0"/>
                <w:iCs w:val="0"/>
                <w:color w:val="auto"/>
                <w:kern w:val="0"/>
                <w:sz w:val="21"/>
                <w:szCs w:val="21"/>
                <w:highlight w:val="none"/>
                <w:u w:val="none"/>
                <w:lang w:val="en-US" w:eastAsia="zh-CN" w:bidi="ar"/>
              </w:rPr>
              <w:t>污水处理厂反硝化深床滤池施工</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FD7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中国建筑第七工程局有限公司</w:t>
            </w:r>
          </w:p>
        </w:tc>
      </w:tr>
      <w:tr w14:paraId="7A5D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AA3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i w:val="0"/>
                <w:iCs w:val="0"/>
                <w:color w:val="auto"/>
                <w:sz w:val="21"/>
                <w:szCs w:val="21"/>
                <w:highlight w:val="none"/>
                <w:u w:val="none"/>
                <w:shd w:val="clear" w:color="auto" w:fill="auto"/>
                <w:lang w:val="en-US" w:eastAsia="zh-CN"/>
              </w:rPr>
            </w:pPr>
            <w:r>
              <w:rPr>
                <w:rFonts w:hint="eastAsia" w:ascii="Times New Roman" w:hAnsi="Times New Roman" w:eastAsia="宋体" w:cs="Times New Roman"/>
                <w:i w:val="0"/>
                <w:iCs w:val="0"/>
                <w:color w:val="auto"/>
                <w:sz w:val="21"/>
                <w:szCs w:val="21"/>
                <w:highlight w:val="none"/>
                <w:u w:val="none"/>
                <w:shd w:val="clear" w:color="auto" w:fill="auto"/>
                <w:lang w:val="en-US" w:eastAsia="zh-CN"/>
              </w:rPr>
              <w:t>5</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C90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新产品、新技术</w:t>
            </w:r>
          </w:p>
        </w:tc>
        <w:tc>
          <w:tcPr>
            <w:tcW w:w="1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432B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城市排水管网智能检测机器人</w:t>
            </w:r>
          </w:p>
        </w:tc>
        <w:tc>
          <w:tcPr>
            <w:tcW w:w="5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03B3B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sz w:val="21"/>
                <w:szCs w:val="21"/>
                <w:highlight w:val="none"/>
                <w:u w:val="none"/>
                <w:shd w:val="clear" w:color="auto" w:fill="auto"/>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针对城市排水管网复杂条件下的缺陷检测，采用自适应CA注意力机制与解耦关键方法，通过声呐与双目视觉惯导融合技术，完成由人工粗放检测向机器人精准定位、三维建模的智能化检测模式转换，解决了管道内部复杂环境干扰、小尺寸缺陷识别精度低等难题。</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C544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适用</w:t>
            </w:r>
            <w:r>
              <w:rPr>
                <w:rFonts w:hint="eastAsia" w:ascii="Times New Roman" w:hAnsi="Times New Roman" w:eastAsia="宋体" w:cs="Times New Roman"/>
                <w:i w:val="0"/>
                <w:iCs w:val="0"/>
                <w:color w:val="000000"/>
                <w:kern w:val="0"/>
                <w:sz w:val="21"/>
                <w:szCs w:val="21"/>
                <w:highlight w:val="none"/>
                <w:u w:val="none"/>
                <w:lang w:val="en-US" w:eastAsia="zh-CN" w:bidi="ar"/>
              </w:rPr>
              <w:t>于</w:t>
            </w:r>
            <w:r>
              <w:rPr>
                <w:rFonts w:hint="default" w:ascii="Times New Roman" w:hAnsi="Times New Roman" w:eastAsia="宋体" w:cs="Times New Roman"/>
                <w:i w:val="0"/>
                <w:iCs w:val="0"/>
                <w:color w:val="000000"/>
                <w:kern w:val="0"/>
                <w:sz w:val="21"/>
                <w:szCs w:val="21"/>
                <w:highlight w:val="none"/>
                <w:u w:val="none"/>
                <w:lang w:val="en-US" w:eastAsia="zh-CN" w:bidi="ar"/>
              </w:rPr>
              <w:t>DN600-DN3000非满水排水管道检测。</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0C1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中国建筑第七工程局有限公司</w:t>
            </w:r>
          </w:p>
        </w:tc>
      </w:tr>
      <w:tr w14:paraId="4021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385D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6</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2DE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783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一种防止污水外溢的装置</w:t>
            </w:r>
          </w:p>
        </w:tc>
        <w:tc>
          <w:tcPr>
            <w:tcW w:w="5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1D9A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该产品利用连通器原理，可在下水道排水不畅时，有效阻止污水从低高程窨井口外溢。</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CFCA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适用于</w:t>
            </w:r>
            <w:r>
              <w:rPr>
                <w:rFonts w:hint="default" w:ascii="Times New Roman" w:hAnsi="Times New Roman" w:eastAsia="宋体" w:cs="Times New Roman"/>
                <w:i w:val="0"/>
                <w:iCs w:val="0"/>
                <w:color w:val="000000"/>
                <w:kern w:val="0"/>
                <w:sz w:val="21"/>
                <w:szCs w:val="21"/>
                <w:highlight w:val="none"/>
                <w:u w:val="none"/>
                <w:lang w:val="en-US" w:eastAsia="zh-CN" w:bidi="ar"/>
              </w:rPr>
              <w:t>城市污水井。</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115B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安阳市市政污水运行保障中心</w:t>
            </w:r>
          </w:p>
        </w:tc>
      </w:tr>
      <w:tr w14:paraId="33DE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104C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7</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C08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新产品</w:t>
            </w:r>
          </w:p>
        </w:tc>
        <w:tc>
          <w:tcPr>
            <w:tcW w:w="1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DBF6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模数式多级防水桥梁伸缩装置</w:t>
            </w:r>
          </w:p>
        </w:tc>
        <w:tc>
          <w:tcPr>
            <w:tcW w:w="5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24E5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该产品针对桥梁伸缩缝防水问题，在传统装置基础上采用多级防水防尘设计，通过改变内部构造和材料，可提升桥梁伸缩缝防水性能，具有施工便捷、便于维护等优点。</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1175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适用于桥梁伸缩缝。</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00269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shd w:val="clear" w:color="auto" w:fill="auto"/>
                <w:lang w:val="en-US" w:eastAsia="zh-CN" w:bidi="ar"/>
              </w:rPr>
              <w:t>河南经纬高科技术有限公司</w:t>
            </w:r>
          </w:p>
        </w:tc>
      </w:tr>
    </w:tbl>
    <w:p w14:paraId="5E919562">
      <w:pPr>
        <w:jc w:val="both"/>
        <w:rPr>
          <w:rFonts w:hint="default" w:ascii="Times New Roman" w:hAnsi="Times New Roman" w:eastAsia="楷体" w:cs="Times New Roman"/>
          <w:sz w:val="36"/>
          <w:szCs w:val="36"/>
          <w:highlight w:val="none"/>
          <w:lang w:val="en-US" w:eastAsia="zh-CN"/>
        </w:rPr>
      </w:pPr>
    </w:p>
    <w:sectPr>
      <w:footerReference r:id="rId3" w:type="default"/>
      <w:pgSz w:w="16838" w:h="11906" w:orient="landscape"/>
      <w:pgMar w:top="1417" w:right="1417" w:bottom="1417" w:left="1417" w:header="851"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081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AF80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EAF80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32"/>
  <w:drawingGridHorizontalSpacing w:val="99"/>
  <w:drawingGridVerticalSpacing w:val="14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ED"/>
    <w:rsid w:val="005751EC"/>
    <w:rsid w:val="005A098F"/>
    <w:rsid w:val="00851FED"/>
    <w:rsid w:val="00A7105F"/>
    <w:rsid w:val="00EB0F32"/>
    <w:rsid w:val="013665D1"/>
    <w:rsid w:val="0C2F1549"/>
    <w:rsid w:val="102D02A1"/>
    <w:rsid w:val="14C8078D"/>
    <w:rsid w:val="18253279"/>
    <w:rsid w:val="1E0A3BC4"/>
    <w:rsid w:val="1F576995"/>
    <w:rsid w:val="20C3715E"/>
    <w:rsid w:val="2FBC6DAB"/>
    <w:rsid w:val="335B3963"/>
    <w:rsid w:val="34BB9CA7"/>
    <w:rsid w:val="39C80195"/>
    <w:rsid w:val="3EDBB05A"/>
    <w:rsid w:val="40682AD6"/>
    <w:rsid w:val="420A48B3"/>
    <w:rsid w:val="436443BC"/>
    <w:rsid w:val="49631162"/>
    <w:rsid w:val="4B4326B9"/>
    <w:rsid w:val="4CF17B79"/>
    <w:rsid w:val="53ED239C"/>
    <w:rsid w:val="5ACE14FA"/>
    <w:rsid w:val="5B0647F0"/>
    <w:rsid w:val="5F5B2224"/>
    <w:rsid w:val="62811DE4"/>
    <w:rsid w:val="635F53E5"/>
    <w:rsid w:val="656D0EA0"/>
    <w:rsid w:val="6B30404D"/>
    <w:rsid w:val="6DEF40DB"/>
    <w:rsid w:val="6EB95765"/>
    <w:rsid w:val="6F4B0F13"/>
    <w:rsid w:val="6FFD6A47"/>
    <w:rsid w:val="74285B6B"/>
    <w:rsid w:val="766D20DA"/>
    <w:rsid w:val="766EAF5F"/>
    <w:rsid w:val="77EB9CC1"/>
    <w:rsid w:val="7ABF489E"/>
    <w:rsid w:val="7B7B492E"/>
    <w:rsid w:val="7E3E94C0"/>
    <w:rsid w:val="7E7E72D2"/>
    <w:rsid w:val="7E9D6C1F"/>
    <w:rsid w:val="BFDF9831"/>
    <w:rsid w:val="CFD6718A"/>
    <w:rsid w:val="D8FBE778"/>
    <w:rsid w:val="E38D1513"/>
    <w:rsid w:val="E3DEC2E5"/>
    <w:rsid w:val="E9DF6B71"/>
    <w:rsid w:val="F7B737A1"/>
    <w:rsid w:val="FAFDAE30"/>
    <w:rsid w:val="FDB1B537"/>
    <w:rsid w:val="FEC5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等线" w:hAnsi="等线" w:eastAsia="等线" w:cs="Times New Roman"/>
      <w:sz w:val="18"/>
      <w:szCs w:val="18"/>
    </w:rPr>
  </w:style>
  <w:style w:type="character" w:customStyle="1" w:styleId="7">
    <w:name w:val="页脚 字符"/>
    <w:basedOn w:val="5"/>
    <w:link w:val="2"/>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4684</Words>
  <Characters>4778</Characters>
  <Lines>25</Lines>
  <Paragraphs>7</Paragraphs>
  <TotalTime>5</TotalTime>
  <ScaleCrop>false</ScaleCrop>
  <LinksUpToDate>false</LinksUpToDate>
  <CharactersWithSpaces>4790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2023-04-04T21:13:00Z</dcterms:created>
  <dc:creator>卢 方超</dc:creator>
  <cp:lastModifiedBy>zyl小鲤</cp:lastModifiedBy>
  <cp:lastPrinted>2025-08-28T16:37:00Z</cp:lastPrinted>
  <dcterms:modified xsi:type="dcterms:W3CDTF">2025-09-10T02:54:13Z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ae18c985f0a577ac780c078e7f1b7d3854ccd41e69468023ce33aadc5b6e2065</vt:lpwstr>
  </property>
  <property fmtid="{D5CDD505-2E9C-101B-9397-08002B2CF9AE}" pid="3" name="KSOTemplateDocerSaveRecord">
    <vt:lpwstr>eyJoZGlkIjoiODk0Y2M4ZGRhOTUwYzIxMzU3NmMyNzY5NWJmNzFlY2MiLCJ1c2VySWQiOiIzMTQ4NDA3MTQifQ==</vt:lpwstr>
  </property>
  <property fmtid="{D5CDD505-2E9C-101B-9397-08002B2CF9AE}" pid="4" name="KSOProductBuildVer">
    <vt:lpwstr>2052-12.1.0.22529</vt:lpwstr>
  </property>
  <property fmtid="{D5CDD505-2E9C-101B-9397-08002B2CF9AE}" pid="5" name="ICV">
    <vt:lpwstr>F7023A8B172C446CA97AF42339FDF1B8_13</vt:lpwstr>
  </property>
</Properties>
</file>